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D5C3" w14:textId="77777777" w:rsidR="00E737AE" w:rsidRPr="007175E2" w:rsidRDefault="00E737AE" w:rsidP="00112395">
      <w:pPr>
        <w:spacing w:after="0" w:line="240" w:lineRule="auto"/>
        <w:ind w:right="4"/>
        <w:rPr>
          <w:rFonts w:ascii="Cambria" w:hAnsi="Cambria"/>
        </w:rPr>
      </w:pPr>
    </w:p>
    <w:p w14:paraId="524EBAB9" w14:textId="77777777" w:rsidR="001541D4" w:rsidRPr="000326BD" w:rsidRDefault="001541D4" w:rsidP="003E6F57">
      <w:pPr>
        <w:spacing w:after="0" w:line="240" w:lineRule="auto"/>
        <w:ind w:right="4"/>
        <w:contextualSpacing/>
        <w:jc w:val="center"/>
        <w:rPr>
          <w:rFonts w:ascii="Cambria" w:eastAsia="Batang" w:hAnsi="Cambria"/>
          <w:b/>
          <w:color w:val="000000" w:themeColor="text1"/>
        </w:rPr>
      </w:pPr>
      <w:r w:rsidRPr="000326BD">
        <w:rPr>
          <w:rFonts w:ascii="Cambria" w:eastAsia="Batang" w:hAnsi="Cambria"/>
          <w:b/>
          <w:color w:val="000000" w:themeColor="text1"/>
        </w:rPr>
        <w:t>TECHNICAL INFORMATION SHEET</w:t>
      </w:r>
    </w:p>
    <w:p w14:paraId="1741114E" w14:textId="42C706FD" w:rsidR="00F5768F" w:rsidRPr="000326BD" w:rsidRDefault="00F5768F" w:rsidP="00F5768F">
      <w:pPr>
        <w:spacing w:after="0" w:line="240" w:lineRule="auto"/>
        <w:ind w:right="4"/>
        <w:contextualSpacing/>
        <w:jc w:val="center"/>
        <w:rPr>
          <w:rFonts w:ascii="Cambria" w:hAnsi="Cambria"/>
          <w:b/>
          <w:color w:val="000000" w:themeColor="text1"/>
        </w:rPr>
      </w:pPr>
      <w:r w:rsidRPr="00505E37">
        <w:rPr>
          <w:rFonts w:ascii="Cambria" w:hAnsi="Cambria"/>
          <w:b/>
          <w:bCs/>
          <w:color w:val="000000" w:themeColor="text1"/>
        </w:rPr>
        <w:t>CASE 12.699</w:t>
      </w:r>
      <w:r w:rsidRPr="00505E37">
        <w:rPr>
          <w:rFonts w:ascii="Cambria" w:hAnsi="Cambria"/>
          <w:b/>
          <w:color w:val="000000" w:themeColor="text1"/>
        </w:rPr>
        <w:t xml:space="preserve"> </w:t>
      </w:r>
      <w:r w:rsidRPr="00505E37">
        <w:rPr>
          <w:rFonts w:ascii="Cambria" w:hAnsi="Cambria"/>
          <w:b/>
          <w:bCs/>
          <w:color w:val="000000" w:themeColor="text1"/>
        </w:rPr>
        <w:t>PEDRO ANTONIO CENTURIÓN</w:t>
      </w:r>
    </w:p>
    <w:p w14:paraId="023C007F" w14:textId="37733ADF" w:rsidR="001541D4" w:rsidRPr="000326BD" w:rsidRDefault="001541D4" w:rsidP="003E6F57">
      <w:pPr>
        <w:spacing w:after="0" w:line="240" w:lineRule="auto"/>
        <w:ind w:right="4"/>
        <w:contextualSpacing/>
        <w:jc w:val="center"/>
        <w:rPr>
          <w:rFonts w:ascii="Cambria" w:eastAsia="Batang" w:hAnsi="Cambria"/>
          <w:b/>
          <w:color w:val="000000" w:themeColor="text1"/>
        </w:rPr>
      </w:pPr>
      <w:r w:rsidRPr="000326BD">
        <w:rPr>
          <w:rFonts w:ascii="Cambria" w:eastAsia="Batang" w:hAnsi="Cambria"/>
          <w:b/>
          <w:color w:val="000000" w:themeColor="text1"/>
        </w:rPr>
        <w:t xml:space="preserve">FRIENDLY SETTLEMENT REPORT </w:t>
      </w:r>
      <w:r w:rsidRPr="00505E37">
        <w:rPr>
          <w:rFonts w:ascii="Cambria" w:eastAsia="Batang" w:hAnsi="Cambria"/>
          <w:b/>
          <w:color w:val="000000" w:themeColor="text1"/>
        </w:rPr>
        <w:t>No</w:t>
      </w:r>
      <w:r w:rsidR="007B1EDA" w:rsidRPr="000326BD">
        <w:rPr>
          <w:rFonts w:ascii="Cambria" w:eastAsia="Batang" w:hAnsi="Cambria"/>
          <w:b/>
          <w:color w:val="000000" w:themeColor="text1"/>
        </w:rPr>
        <w:t>.</w:t>
      </w:r>
      <w:r w:rsidR="006506A4" w:rsidRPr="000326BD">
        <w:rPr>
          <w:rFonts w:ascii="Cambria" w:eastAsia="Batang" w:hAnsi="Cambria"/>
          <w:b/>
          <w:color w:val="000000" w:themeColor="text1"/>
        </w:rPr>
        <w:t xml:space="preserve"> </w:t>
      </w:r>
      <w:hyperlink r:id="rId12" w:history="1">
        <w:r w:rsidR="00F5768F" w:rsidRPr="00505E37">
          <w:rPr>
            <w:rStyle w:val="Hyperlink"/>
            <w:rFonts w:ascii="Cambria" w:hAnsi="Cambria"/>
            <w:b/>
            <w:bCs/>
            <w:color w:val="000000" w:themeColor="text1"/>
            <w:u w:val="none"/>
          </w:rPr>
          <w:t>130/18</w:t>
        </w:r>
      </w:hyperlink>
    </w:p>
    <w:p w14:paraId="52EBA80E" w14:textId="77777777" w:rsidR="001541D4" w:rsidRPr="000326BD" w:rsidRDefault="001541D4" w:rsidP="003E6F57">
      <w:pPr>
        <w:spacing w:after="0" w:line="240" w:lineRule="auto"/>
        <w:ind w:right="4"/>
        <w:contextualSpacing/>
        <w:jc w:val="center"/>
        <w:rPr>
          <w:rFonts w:ascii="Cambria" w:eastAsia="Batang" w:hAnsi="Cambria"/>
          <w:b/>
          <w:color w:val="000000" w:themeColor="text1"/>
        </w:rPr>
      </w:pPr>
      <w:r w:rsidRPr="000326BD">
        <w:rPr>
          <w:rFonts w:ascii="Cambria" w:eastAsia="Batang" w:hAnsi="Cambria"/>
          <w:b/>
          <w:color w:val="000000" w:themeColor="text1"/>
        </w:rPr>
        <w:t>TOTAL COMPLIANCE</w:t>
      </w:r>
    </w:p>
    <w:p w14:paraId="359B0977" w14:textId="034B92FF" w:rsidR="001541D4" w:rsidRPr="00505E37" w:rsidRDefault="001541D4" w:rsidP="00F5768F">
      <w:pPr>
        <w:spacing w:after="0" w:line="240" w:lineRule="auto"/>
        <w:ind w:right="4"/>
        <w:contextualSpacing/>
        <w:jc w:val="center"/>
        <w:rPr>
          <w:rFonts w:ascii="Cambria" w:eastAsia="Batang" w:hAnsi="Cambria"/>
          <w:b/>
          <w:color w:val="000000" w:themeColor="text1"/>
        </w:rPr>
      </w:pPr>
      <w:r w:rsidRPr="00505E37">
        <w:rPr>
          <w:rFonts w:ascii="Cambria" w:eastAsia="Batang" w:hAnsi="Cambria"/>
          <w:b/>
          <w:color w:val="000000" w:themeColor="text1"/>
        </w:rPr>
        <w:t>(</w:t>
      </w:r>
      <w:r w:rsidR="00F5768F" w:rsidRPr="00505E37">
        <w:rPr>
          <w:rFonts w:ascii="Cambria" w:eastAsia="Batang" w:hAnsi="Cambria"/>
          <w:b/>
          <w:color w:val="000000" w:themeColor="text1"/>
        </w:rPr>
        <w:t>PARAGUAY</w:t>
      </w:r>
      <w:r w:rsidRPr="00505E37">
        <w:rPr>
          <w:rFonts w:ascii="Cambria" w:eastAsia="Batang" w:hAnsi="Cambria"/>
          <w:b/>
          <w:color w:val="000000" w:themeColor="text1"/>
        </w:rPr>
        <w:t>)</w:t>
      </w:r>
    </w:p>
    <w:p w14:paraId="17C6E5B0" w14:textId="77777777" w:rsidR="001541D4" w:rsidRPr="007175E2" w:rsidRDefault="001541D4" w:rsidP="001541D4">
      <w:pPr>
        <w:spacing w:after="0" w:line="240" w:lineRule="auto"/>
        <w:ind w:right="-270"/>
        <w:jc w:val="center"/>
        <w:rPr>
          <w:rFonts w:ascii="Cambria" w:eastAsia="Batang" w:hAnsi="Cambria"/>
          <w:b/>
          <w:color w:val="000000"/>
        </w:rPr>
      </w:pPr>
    </w:p>
    <w:p w14:paraId="4466410B" w14:textId="77777777" w:rsidR="001541D4" w:rsidRPr="007175E2" w:rsidRDefault="001541D4" w:rsidP="00637AFB">
      <w:pPr>
        <w:numPr>
          <w:ilvl w:val="0"/>
          <w:numId w:val="37"/>
        </w:numPr>
        <w:spacing w:after="0" w:line="240" w:lineRule="auto"/>
        <w:ind w:left="0" w:firstLine="709"/>
        <w:rPr>
          <w:rFonts w:ascii="Cambria" w:eastAsia="Batang" w:hAnsi="Cambria" w:cs="Calibri Light"/>
          <w:b/>
          <w:color w:val="000000"/>
        </w:rPr>
      </w:pPr>
      <w:r w:rsidRPr="007175E2">
        <w:rPr>
          <w:rFonts w:ascii="Cambria" w:eastAsia="Batang" w:hAnsi="Cambria" w:cs="Calibri Light"/>
          <w:b/>
          <w:color w:val="000000"/>
        </w:rPr>
        <w:t>SUMMARY OF THE CASE</w:t>
      </w:r>
    </w:p>
    <w:p w14:paraId="21DA0E00" w14:textId="77777777" w:rsidR="001541D4" w:rsidRPr="007175E2" w:rsidRDefault="001541D4" w:rsidP="001541D4">
      <w:pPr>
        <w:spacing w:after="0" w:line="240" w:lineRule="auto"/>
        <w:rPr>
          <w:rFonts w:ascii="Cambria" w:eastAsia="Batang" w:hAnsi="Cambria" w:cs="Calibri Light"/>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1541D4" w:rsidRPr="000326BD" w14:paraId="58669F97" w14:textId="77777777" w:rsidTr="003E6F57">
        <w:trPr>
          <w:trHeight w:val="5967"/>
          <w:jc w:val="center"/>
        </w:trPr>
        <w:tc>
          <w:tcPr>
            <w:tcW w:w="9350" w:type="dxa"/>
            <w:shd w:val="clear" w:color="auto" w:fill="F2F2F2"/>
          </w:tcPr>
          <w:p w14:paraId="23BACE6E" w14:textId="77777777" w:rsidR="00F5768F" w:rsidRPr="00505E37" w:rsidRDefault="00F5768F" w:rsidP="00F5768F">
            <w:pPr>
              <w:pStyle w:val="NoSpacing"/>
              <w:rPr>
                <w:rFonts w:ascii="Cambria" w:hAnsi="Cambria"/>
                <w:b/>
                <w:color w:val="000000"/>
                <w:sz w:val="20"/>
                <w:szCs w:val="20"/>
              </w:rPr>
            </w:pPr>
            <w:r w:rsidRPr="00505E37">
              <w:rPr>
                <w:rFonts w:ascii="Cambria" w:hAnsi="Cambria"/>
                <w:b/>
                <w:bCs/>
                <w:color w:val="000000"/>
                <w:sz w:val="20"/>
                <w:szCs w:val="20"/>
              </w:rPr>
              <w:t>Victim(s):</w:t>
            </w:r>
            <w:r w:rsidRPr="00505E37">
              <w:rPr>
                <w:rFonts w:ascii="Cambria" w:hAnsi="Cambria"/>
                <w:b/>
                <w:color w:val="000000"/>
                <w:sz w:val="20"/>
                <w:szCs w:val="20"/>
              </w:rPr>
              <w:t xml:space="preserve"> </w:t>
            </w:r>
            <w:r w:rsidRPr="00505E37">
              <w:rPr>
                <w:rFonts w:ascii="Cambria" w:hAnsi="Cambria"/>
                <w:bCs/>
                <w:color w:val="000000"/>
                <w:sz w:val="20"/>
                <w:szCs w:val="20"/>
              </w:rPr>
              <w:t>Pedro Antonio Centurión</w:t>
            </w:r>
          </w:p>
          <w:p w14:paraId="508E0729" w14:textId="77777777" w:rsidR="00F5768F" w:rsidRPr="00505E37" w:rsidRDefault="00F5768F" w:rsidP="00F5768F">
            <w:pPr>
              <w:pStyle w:val="NoSpacing"/>
              <w:rPr>
                <w:rFonts w:ascii="Cambria" w:hAnsi="Cambria"/>
                <w:b/>
                <w:color w:val="000000"/>
                <w:sz w:val="20"/>
                <w:szCs w:val="20"/>
                <w:lang w:val="es-VE"/>
              </w:rPr>
            </w:pPr>
            <w:r w:rsidRPr="00505E37">
              <w:rPr>
                <w:rFonts w:ascii="Cambria" w:hAnsi="Cambria"/>
                <w:b/>
                <w:bCs/>
                <w:color w:val="000000"/>
                <w:sz w:val="20"/>
                <w:szCs w:val="20"/>
                <w:lang w:val="es-VE"/>
              </w:rPr>
              <w:t xml:space="preserve">Petitioner(s): </w:t>
            </w:r>
            <w:r w:rsidRPr="00505E37">
              <w:rPr>
                <w:rFonts w:ascii="Cambria" w:hAnsi="Cambria"/>
                <w:bCs/>
                <w:color w:val="000000"/>
                <w:sz w:val="20"/>
                <w:szCs w:val="20"/>
                <w:lang w:val="es-VE"/>
              </w:rPr>
              <w:t>Asociación de Familiares Víctimas del Servicio Militar (AFAVISEM).</w:t>
            </w:r>
          </w:p>
          <w:p w14:paraId="73B58862" w14:textId="77777777" w:rsidR="00F5768F" w:rsidRPr="00505E37" w:rsidRDefault="00F5768F" w:rsidP="00F5768F">
            <w:pPr>
              <w:pStyle w:val="NoSpacing"/>
              <w:rPr>
                <w:rFonts w:ascii="Cambria" w:hAnsi="Cambria"/>
                <w:bCs/>
                <w:color w:val="000000"/>
                <w:sz w:val="20"/>
                <w:szCs w:val="20"/>
              </w:rPr>
            </w:pPr>
            <w:r w:rsidRPr="00505E37">
              <w:rPr>
                <w:rFonts w:ascii="Cambria" w:hAnsi="Cambria"/>
                <w:b/>
                <w:bCs/>
                <w:color w:val="000000"/>
                <w:sz w:val="20"/>
                <w:szCs w:val="20"/>
              </w:rPr>
              <w:t>State:</w:t>
            </w:r>
            <w:r w:rsidRPr="00505E37">
              <w:rPr>
                <w:rFonts w:ascii="Cambria" w:hAnsi="Cambria"/>
                <w:b/>
                <w:color w:val="000000"/>
                <w:sz w:val="20"/>
                <w:szCs w:val="20"/>
              </w:rPr>
              <w:t xml:space="preserve"> </w:t>
            </w:r>
            <w:r w:rsidRPr="00505E37">
              <w:rPr>
                <w:rFonts w:ascii="Cambria" w:hAnsi="Cambria"/>
                <w:bCs/>
                <w:color w:val="000000"/>
                <w:sz w:val="20"/>
                <w:szCs w:val="20"/>
              </w:rPr>
              <w:t>Paraguay</w:t>
            </w:r>
          </w:p>
          <w:p w14:paraId="163E054D" w14:textId="77777777" w:rsidR="00F5768F" w:rsidRPr="00505E37" w:rsidRDefault="00F5768F" w:rsidP="00F5768F">
            <w:pPr>
              <w:pStyle w:val="NoSpacing"/>
              <w:rPr>
                <w:rFonts w:ascii="Cambria" w:hAnsi="Cambria"/>
                <w:b/>
                <w:bCs/>
                <w:color w:val="000000"/>
                <w:sz w:val="20"/>
                <w:szCs w:val="20"/>
              </w:rPr>
            </w:pPr>
            <w:r w:rsidRPr="00505E37">
              <w:rPr>
                <w:rFonts w:ascii="Cambria" w:hAnsi="Cambria"/>
                <w:b/>
                <w:bCs/>
                <w:color w:val="000000"/>
                <w:sz w:val="20"/>
                <w:szCs w:val="20"/>
              </w:rPr>
              <w:t>Start date of negotiations</w:t>
            </w:r>
            <w:r w:rsidRPr="00505E37">
              <w:rPr>
                <w:rFonts w:ascii="Cambria" w:hAnsi="Cambria"/>
                <w:color w:val="000000"/>
                <w:sz w:val="20"/>
                <w:szCs w:val="20"/>
              </w:rPr>
              <w:t>: N/A</w:t>
            </w:r>
          </w:p>
          <w:p w14:paraId="645E0B73" w14:textId="77777777" w:rsidR="00F5768F" w:rsidRPr="00505E37" w:rsidRDefault="00F5768F" w:rsidP="00F5768F">
            <w:pPr>
              <w:pStyle w:val="NoSpacing"/>
              <w:rPr>
                <w:rFonts w:ascii="Cambria" w:hAnsi="Cambria"/>
                <w:b/>
                <w:color w:val="000000"/>
                <w:sz w:val="20"/>
                <w:szCs w:val="20"/>
              </w:rPr>
            </w:pPr>
            <w:r w:rsidRPr="00505E37">
              <w:rPr>
                <w:rFonts w:ascii="Cambria" w:hAnsi="Cambria"/>
                <w:b/>
                <w:bCs/>
                <w:color w:val="000000"/>
                <w:sz w:val="20"/>
                <w:szCs w:val="20"/>
              </w:rPr>
              <w:t xml:space="preserve">Friendly settlement agreement report No.: </w:t>
            </w:r>
            <w:hyperlink r:id="rId13" w:history="1">
              <w:r w:rsidRPr="00505E37">
                <w:rPr>
                  <w:rStyle w:val="Hyperlink"/>
                  <w:rFonts w:ascii="Cambria" w:hAnsi="Cambria"/>
                  <w:b/>
                  <w:color w:val="000000" w:themeColor="text1"/>
                  <w:sz w:val="20"/>
                  <w:szCs w:val="20"/>
                </w:rPr>
                <w:t>130/18</w:t>
              </w:r>
            </w:hyperlink>
            <w:r w:rsidRPr="00505E37">
              <w:rPr>
                <w:rFonts w:ascii="Cambria" w:hAnsi="Cambria"/>
                <w:b/>
                <w:color w:val="000000" w:themeColor="text1"/>
                <w:sz w:val="20"/>
                <w:szCs w:val="20"/>
              </w:rPr>
              <w:t xml:space="preserve">, </w:t>
            </w:r>
            <w:r w:rsidRPr="00505E37">
              <w:rPr>
                <w:rFonts w:ascii="Cambria" w:hAnsi="Cambria"/>
                <w:bCs/>
                <w:color w:val="000000" w:themeColor="text1"/>
                <w:sz w:val="20"/>
                <w:szCs w:val="20"/>
              </w:rPr>
              <w:t>published on November 20, 2018</w:t>
            </w:r>
          </w:p>
          <w:p w14:paraId="06EA28A0" w14:textId="77777777" w:rsidR="00F5768F" w:rsidRPr="00505E37" w:rsidRDefault="00F5768F" w:rsidP="00F5768F">
            <w:pPr>
              <w:pStyle w:val="NoSpacing"/>
              <w:rPr>
                <w:rFonts w:ascii="Cambria" w:hAnsi="Cambria"/>
                <w:b/>
                <w:color w:val="000000"/>
                <w:sz w:val="20"/>
                <w:szCs w:val="20"/>
              </w:rPr>
            </w:pPr>
            <w:r w:rsidRPr="00505E37">
              <w:rPr>
                <w:rFonts w:ascii="Cambria" w:hAnsi="Cambria"/>
                <w:b/>
                <w:bCs/>
                <w:color w:val="000000"/>
                <w:sz w:val="20"/>
                <w:szCs w:val="20"/>
              </w:rPr>
              <w:t xml:space="preserve">FSA signing date: </w:t>
            </w:r>
            <w:r w:rsidRPr="00505E37">
              <w:rPr>
                <w:rFonts w:ascii="Cambria" w:hAnsi="Cambria"/>
                <w:bCs/>
                <w:color w:val="000000"/>
                <w:sz w:val="20"/>
                <w:szCs w:val="20"/>
              </w:rPr>
              <w:t>August 5, 2011</w:t>
            </w:r>
            <w:r w:rsidRPr="00505E37">
              <w:rPr>
                <w:rFonts w:ascii="Cambria" w:hAnsi="Cambria"/>
                <w:b/>
                <w:color w:val="000000"/>
                <w:sz w:val="20"/>
                <w:szCs w:val="20"/>
              </w:rPr>
              <w:t xml:space="preserve"> </w:t>
            </w:r>
          </w:p>
          <w:p w14:paraId="6025408A" w14:textId="77777777" w:rsidR="00F5768F" w:rsidRPr="00505E37" w:rsidRDefault="00F5768F" w:rsidP="00F5768F">
            <w:pPr>
              <w:pStyle w:val="NoSpacing"/>
              <w:jc w:val="both"/>
              <w:rPr>
                <w:rFonts w:ascii="Cambria" w:hAnsi="Cambria"/>
                <w:b/>
                <w:color w:val="000000"/>
                <w:sz w:val="20"/>
                <w:szCs w:val="20"/>
              </w:rPr>
            </w:pPr>
            <w:r w:rsidRPr="00505E37">
              <w:rPr>
                <w:rFonts w:ascii="Cambria" w:hAnsi="Cambria"/>
                <w:b/>
                <w:color w:val="000000"/>
                <w:sz w:val="20"/>
                <w:szCs w:val="20"/>
              </w:rPr>
              <w:t>Admissibility report No. :</w:t>
            </w:r>
            <w:r w:rsidRPr="00505E37">
              <w:rPr>
                <w:rFonts w:ascii="Cambria" w:hAnsi="Cambria"/>
                <w:b/>
                <w:bCs/>
                <w:color w:val="000000"/>
                <w:sz w:val="20"/>
                <w:szCs w:val="20"/>
              </w:rPr>
              <w:t xml:space="preserve"> </w:t>
            </w:r>
            <w:hyperlink r:id="rId14" w:history="1">
              <w:r w:rsidRPr="00505E37">
                <w:rPr>
                  <w:rStyle w:val="Hyperlink"/>
                  <w:rFonts w:ascii="Cambria" w:hAnsi="Cambria"/>
                  <w:b/>
                  <w:bCs/>
                  <w:color w:val="000000" w:themeColor="text1"/>
                  <w:sz w:val="20"/>
                  <w:szCs w:val="20"/>
                </w:rPr>
                <w:t>19/09</w:t>
              </w:r>
            </w:hyperlink>
            <w:r w:rsidRPr="00505E37">
              <w:rPr>
                <w:rFonts w:ascii="Cambria" w:hAnsi="Cambria"/>
                <w:b/>
                <w:color w:val="000000" w:themeColor="text1"/>
                <w:sz w:val="20"/>
                <w:szCs w:val="20"/>
              </w:rPr>
              <w:t xml:space="preserve">, </w:t>
            </w:r>
            <w:r w:rsidRPr="00505E37">
              <w:rPr>
                <w:rFonts w:ascii="Cambria" w:hAnsi="Cambria"/>
                <w:bCs/>
                <w:color w:val="000000"/>
                <w:sz w:val="20"/>
                <w:szCs w:val="20"/>
              </w:rPr>
              <w:t>published March 19, 2009</w:t>
            </w:r>
          </w:p>
          <w:p w14:paraId="1029D3BD" w14:textId="77777777" w:rsidR="00F5768F" w:rsidRPr="00505E37" w:rsidRDefault="00F5768F" w:rsidP="00F5768F">
            <w:pPr>
              <w:pStyle w:val="NoSpacing"/>
              <w:rPr>
                <w:rFonts w:ascii="Cambria" w:hAnsi="Cambria"/>
                <w:b/>
                <w:bCs/>
                <w:color w:val="000000"/>
                <w:sz w:val="20"/>
                <w:szCs w:val="20"/>
              </w:rPr>
            </w:pPr>
            <w:r w:rsidRPr="00505E37">
              <w:rPr>
                <w:rFonts w:ascii="Cambria" w:hAnsi="Cambria"/>
                <w:b/>
                <w:bCs/>
                <w:color w:val="000000"/>
                <w:sz w:val="20"/>
                <w:szCs w:val="20"/>
              </w:rPr>
              <w:t xml:space="preserve">Estimated length of negotiation phase: </w:t>
            </w:r>
            <w:r w:rsidRPr="00505E37">
              <w:rPr>
                <w:rFonts w:ascii="Cambria" w:hAnsi="Cambria"/>
                <w:bCs/>
                <w:color w:val="000000"/>
                <w:sz w:val="20"/>
                <w:szCs w:val="20"/>
              </w:rPr>
              <w:t>N/A</w:t>
            </w:r>
          </w:p>
          <w:p w14:paraId="2FACB8D3" w14:textId="77777777" w:rsidR="00F5768F" w:rsidRPr="00505E37" w:rsidRDefault="00F5768F" w:rsidP="00F5768F">
            <w:pPr>
              <w:pStyle w:val="NoSpacing"/>
              <w:rPr>
                <w:rFonts w:ascii="Cambria" w:hAnsi="Cambria"/>
                <w:b/>
                <w:color w:val="000000"/>
                <w:sz w:val="20"/>
                <w:szCs w:val="20"/>
              </w:rPr>
            </w:pPr>
            <w:r w:rsidRPr="00505E37">
              <w:rPr>
                <w:rFonts w:ascii="Cambria" w:hAnsi="Cambria"/>
                <w:b/>
                <w:bCs/>
                <w:color w:val="000000"/>
                <w:sz w:val="20"/>
                <w:szCs w:val="20"/>
              </w:rPr>
              <w:t>Related rapporteurship:</w:t>
            </w:r>
            <w:r w:rsidRPr="00505E37">
              <w:rPr>
                <w:rFonts w:ascii="Cambria" w:hAnsi="Cambria"/>
                <w:bCs/>
                <w:color w:val="000000"/>
                <w:sz w:val="20"/>
                <w:szCs w:val="20"/>
              </w:rPr>
              <w:t xml:space="preserve"> Rights of the Child</w:t>
            </w:r>
          </w:p>
          <w:p w14:paraId="103B5537" w14:textId="77777777" w:rsidR="00F5768F" w:rsidRPr="00505E37" w:rsidRDefault="00F5768F" w:rsidP="00F5768F">
            <w:pPr>
              <w:pStyle w:val="NoSpacing"/>
              <w:rPr>
                <w:rFonts w:ascii="Cambria" w:hAnsi="Cambria"/>
                <w:b/>
                <w:color w:val="000000"/>
                <w:sz w:val="20"/>
                <w:szCs w:val="20"/>
              </w:rPr>
            </w:pPr>
            <w:r w:rsidRPr="00505E37">
              <w:rPr>
                <w:rFonts w:ascii="Cambria" w:hAnsi="Cambria"/>
                <w:b/>
                <w:bCs/>
                <w:color w:val="000000"/>
                <w:sz w:val="20"/>
                <w:szCs w:val="20"/>
              </w:rPr>
              <w:t>Topics:</w:t>
            </w:r>
            <w:r w:rsidRPr="00505E37">
              <w:rPr>
                <w:rFonts w:ascii="Cambria" w:hAnsi="Cambria"/>
                <w:b/>
                <w:color w:val="000000"/>
                <w:sz w:val="20"/>
                <w:szCs w:val="20"/>
              </w:rPr>
              <w:t xml:space="preserve"> </w:t>
            </w:r>
            <w:r w:rsidRPr="00505E37">
              <w:rPr>
                <w:rFonts w:ascii="Cambria" w:hAnsi="Cambria"/>
                <w:bCs/>
                <w:color w:val="000000"/>
                <w:sz w:val="20"/>
                <w:szCs w:val="20"/>
              </w:rPr>
              <w:t>Summary, extrajudicial, or arbitrary executions / right to life / right to fair trial / right to judicial protection guarantees / investigation / militarization / children and adolescents / obligatory military service</w:t>
            </w:r>
          </w:p>
          <w:p w14:paraId="4F40DB4C" w14:textId="77777777" w:rsidR="00F5768F" w:rsidRPr="00505E37" w:rsidRDefault="00F5768F" w:rsidP="00F5768F">
            <w:pPr>
              <w:pStyle w:val="NoSpacing"/>
              <w:rPr>
                <w:rFonts w:ascii="Cambria" w:hAnsi="Cambria"/>
                <w:b/>
                <w:color w:val="000000"/>
                <w:sz w:val="20"/>
                <w:szCs w:val="20"/>
              </w:rPr>
            </w:pPr>
          </w:p>
          <w:p w14:paraId="0629D4EB" w14:textId="77777777" w:rsidR="00F5768F" w:rsidRPr="00505E37" w:rsidRDefault="00F5768F" w:rsidP="00F5768F">
            <w:pPr>
              <w:pStyle w:val="NoSpacing"/>
              <w:jc w:val="both"/>
              <w:rPr>
                <w:rFonts w:ascii="Cambria" w:hAnsi="Cambria"/>
                <w:b/>
                <w:color w:val="000000"/>
                <w:sz w:val="20"/>
                <w:szCs w:val="20"/>
              </w:rPr>
            </w:pPr>
            <w:r w:rsidRPr="00505E37">
              <w:rPr>
                <w:rFonts w:ascii="Cambria" w:hAnsi="Cambria"/>
                <w:b/>
                <w:bCs/>
                <w:color w:val="000000"/>
                <w:sz w:val="20"/>
                <w:szCs w:val="20"/>
              </w:rPr>
              <w:t>Facts:</w:t>
            </w:r>
            <w:r w:rsidRPr="00505E37">
              <w:rPr>
                <w:rFonts w:ascii="Cambria" w:hAnsi="Cambria"/>
                <w:b/>
                <w:color w:val="000000"/>
                <w:sz w:val="20"/>
                <w:szCs w:val="20"/>
              </w:rPr>
              <w:t xml:space="preserve"> </w:t>
            </w:r>
            <w:r w:rsidRPr="00505E37">
              <w:rPr>
                <w:rFonts w:ascii="Cambria" w:hAnsi="Cambria"/>
                <w:bCs/>
                <w:color w:val="000000"/>
                <w:sz w:val="20"/>
                <w:szCs w:val="20"/>
              </w:rPr>
              <w:t>The case concerns the events of March 2000, when Pedro Antonio Centurión, a 13-year-old child of Argentine nationality, was forcibly recruited to perform obligatory military service. Members of the Paraguayan military, who transferred him to a barracks, took the child from his home. The victim's mother went to the barracks to inform the authorities that her child was Argentine and a minor, in response to which a captain of the National Army told her that her child's nationality and age did not matter, and that “he would take charge of resolving it” and “that he already had the necessary height and body.” The captain therefore prevented her from taking the child home from the barracks. Pedro Antonio Centurión was later transferred to Fort Cano, where he experienced “hunger and difficulties of all kinds.” He tried to escape in July 2000, but was captured again 40 km from the barracks and taken to the Vista Alegre military unit, where, on September 12, 2000, he died under “strange circumstances.” The petitioners note that according to the autopsy, Pedro Antonio Centurión died from a gunshot wound from a long gun. The petitioners noted that in order for Pedro Antonio Centurión to be drafted into military service, members of the military had to forge his identity document to show that he was old enough to be drafted and that he also was a Paraguayan national. They also noted that the commander at the time was ordered jailed for three months.</w:t>
            </w:r>
          </w:p>
          <w:p w14:paraId="0DD9FAD7" w14:textId="77777777" w:rsidR="00F5768F" w:rsidRPr="00505E37" w:rsidRDefault="00F5768F" w:rsidP="00F5768F">
            <w:pPr>
              <w:pStyle w:val="NoSpacing"/>
              <w:rPr>
                <w:rFonts w:ascii="Cambria" w:hAnsi="Cambria"/>
                <w:b/>
                <w:color w:val="000000"/>
                <w:sz w:val="20"/>
                <w:szCs w:val="20"/>
              </w:rPr>
            </w:pPr>
          </w:p>
          <w:p w14:paraId="38FCE193" w14:textId="7E78B7CF" w:rsidR="006F75AC" w:rsidRPr="00505E37" w:rsidRDefault="00F5768F" w:rsidP="00F5768F">
            <w:pPr>
              <w:tabs>
                <w:tab w:val="left" w:pos="9270"/>
              </w:tabs>
              <w:spacing w:after="0" w:line="240" w:lineRule="auto"/>
              <w:jc w:val="both"/>
              <w:rPr>
                <w:rFonts w:ascii="Cambria" w:eastAsia="Batang" w:hAnsi="Cambria"/>
                <w:color w:val="000000"/>
                <w:sz w:val="20"/>
                <w:szCs w:val="20"/>
              </w:rPr>
            </w:pPr>
            <w:r w:rsidRPr="00505E37">
              <w:rPr>
                <w:rFonts w:ascii="Cambria" w:hAnsi="Cambria"/>
                <w:b/>
                <w:bCs/>
                <w:color w:val="000000"/>
                <w:sz w:val="20"/>
                <w:szCs w:val="20"/>
              </w:rPr>
              <w:t>Rights declared admissible:</w:t>
            </w:r>
            <w:r w:rsidRPr="00505E37">
              <w:rPr>
                <w:rFonts w:ascii="Cambria" w:hAnsi="Cambria"/>
                <w:b/>
                <w:color w:val="000000"/>
                <w:sz w:val="20"/>
                <w:szCs w:val="20"/>
              </w:rPr>
              <w:t xml:space="preserve"> </w:t>
            </w:r>
            <w:r w:rsidRPr="00505E37">
              <w:rPr>
                <w:rFonts w:ascii="Cambria" w:hAnsi="Cambria"/>
                <w:bCs/>
                <w:color w:val="000000"/>
                <w:sz w:val="20"/>
                <w:szCs w:val="20"/>
              </w:rPr>
              <w:t>The Commission declared the case admissible for alleged violation of the rights enshrined in articles 4, 5, 6, 7, 8, 19, and 25 of the American Convention on Human Rights.</w:t>
            </w:r>
          </w:p>
        </w:tc>
      </w:tr>
    </w:tbl>
    <w:p w14:paraId="74053FDD" w14:textId="77777777" w:rsidR="001541D4" w:rsidRPr="007175E2" w:rsidRDefault="001541D4" w:rsidP="001541D4">
      <w:pPr>
        <w:spacing w:after="0" w:line="240" w:lineRule="auto"/>
        <w:ind w:left="720"/>
        <w:contextualSpacing/>
        <w:jc w:val="both"/>
        <w:rPr>
          <w:rFonts w:ascii="Cambria" w:eastAsia="Batang" w:hAnsi="Cambria" w:cs="Calibri Light"/>
          <w:b/>
          <w:color w:val="000000"/>
        </w:rPr>
      </w:pPr>
    </w:p>
    <w:p w14:paraId="08700397" w14:textId="77777777" w:rsidR="001541D4" w:rsidRPr="007175E2" w:rsidRDefault="001541D4" w:rsidP="00637AFB">
      <w:pPr>
        <w:numPr>
          <w:ilvl w:val="0"/>
          <w:numId w:val="37"/>
        </w:numPr>
        <w:spacing w:after="0" w:line="240" w:lineRule="auto"/>
        <w:ind w:left="0" w:firstLine="720"/>
        <w:contextualSpacing/>
        <w:jc w:val="both"/>
        <w:rPr>
          <w:rFonts w:ascii="Cambria" w:eastAsia="Batang" w:hAnsi="Cambria" w:cs="Calibri Light"/>
          <w:b/>
          <w:color w:val="000000"/>
        </w:rPr>
      </w:pPr>
      <w:r w:rsidRPr="007175E2">
        <w:rPr>
          <w:rFonts w:ascii="Cambria" w:eastAsia="Batang" w:hAnsi="Cambria"/>
          <w:b/>
          <w:color w:val="000000"/>
        </w:rPr>
        <w:t>PROCEDURAL ACTIVITY</w:t>
      </w:r>
    </w:p>
    <w:p w14:paraId="622D1A9C" w14:textId="77777777" w:rsidR="001541D4" w:rsidRPr="007175E2" w:rsidRDefault="001541D4" w:rsidP="00F9344E">
      <w:pPr>
        <w:spacing w:after="0" w:line="240" w:lineRule="auto"/>
        <w:contextualSpacing/>
        <w:jc w:val="both"/>
        <w:rPr>
          <w:rFonts w:ascii="Cambria" w:eastAsia="Batang" w:hAnsi="Cambria" w:cs="Calibri Light"/>
          <w:color w:val="000000"/>
        </w:rPr>
      </w:pPr>
    </w:p>
    <w:p w14:paraId="3CE39891" w14:textId="51FFF706" w:rsidR="00873D38" w:rsidRPr="00BA2363" w:rsidRDefault="00873D38" w:rsidP="00873D38">
      <w:pPr>
        <w:pStyle w:val="ListParagraph"/>
        <w:numPr>
          <w:ilvl w:val="0"/>
          <w:numId w:val="4"/>
        </w:numPr>
        <w:spacing w:after="0" w:line="240" w:lineRule="auto"/>
        <w:ind w:left="0" w:firstLine="720"/>
        <w:jc w:val="both"/>
        <w:rPr>
          <w:rFonts w:ascii="Cambria" w:hAnsi="Cambria"/>
          <w:sz w:val="20"/>
          <w:szCs w:val="20"/>
        </w:rPr>
      </w:pPr>
      <w:r w:rsidRPr="00BA2363">
        <w:rPr>
          <w:rFonts w:ascii="Cambria" w:hAnsi="Cambria"/>
          <w:sz w:val="20"/>
          <w:szCs w:val="20"/>
        </w:rPr>
        <w:t xml:space="preserve">On August </w:t>
      </w:r>
      <w:r>
        <w:rPr>
          <w:rFonts w:ascii="Cambria" w:hAnsi="Cambria"/>
          <w:sz w:val="20"/>
          <w:szCs w:val="20"/>
        </w:rPr>
        <w:t>5</w:t>
      </w:r>
      <w:r w:rsidRPr="00BA2363">
        <w:rPr>
          <w:rFonts w:ascii="Cambria" w:hAnsi="Cambria"/>
          <w:sz w:val="20"/>
          <w:szCs w:val="20"/>
        </w:rPr>
        <w:t>, 20</w:t>
      </w:r>
      <w:r>
        <w:rPr>
          <w:rFonts w:ascii="Cambria" w:hAnsi="Cambria"/>
          <w:sz w:val="20"/>
          <w:szCs w:val="20"/>
        </w:rPr>
        <w:t>11</w:t>
      </w:r>
      <w:r w:rsidRPr="00BA2363">
        <w:rPr>
          <w:rFonts w:ascii="Cambria" w:hAnsi="Cambria"/>
          <w:sz w:val="20"/>
          <w:szCs w:val="20"/>
        </w:rPr>
        <w:t>, the parties signed a friendly settlement agreement.</w:t>
      </w:r>
    </w:p>
    <w:p w14:paraId="0260B6B7" w14:textId="77777777" w:rsidR="00873D38" w:rsidRPr="00BA2363" w:rsidRDefault="00873D38" w:rsidP="00505E37">
      <w:pPr>
        <w:pStyle w:val="ListParagraph"/>
        <w:spacing w:after="0" w:line="240" w:lineRule="auto"/>
        <w:rPr>
          <w:rFonts w:ascii="Cambria" w:hAnsi="Cambria"/>
          <w:sz w:val="20"/>
          <w:szCs w:val="20"/>
        </w:rPr>
      </w:pPr>
      <w:r w:rsidRPr="00BA2363">
        <w:rPr>
          <w:rFonts w:ascii="Cambria" w:hAnsi="Cambria"/>
          <w:sz w:val="20"/>
          <w:szCs w:val="20"/>
        </w:rPr>
        <w:t xml:space="preserve"> </w:t>
      </w:r>
    </w:p>
    <w:p w14:paraId="73F02E3A" w14:textId="3BFD4CE8" w:rsidR="00873D38" w:rsidRPr="00F5768F" w:rsidRDefault="00873D38" w:rsidP="00505E37">
      <w:pPr>
        <w:tabs>
          <w:tab w:val="left" w:pos="0"/>
        </w:tabs>
        <w:spacing w:after="0" w:line="240" w:lineRule="auto"/>
        <w:ind w:firstLine="720"/>
        <w:contextualSpacing/>
        <w:jc w:val="both"/>
        <w:rPr>
          <w:rFonts w:ascii="Cambria" w:hAnsi="Cambria" w:cs="Calibri Light"/>
          <w:color w:val="000000"/>
          <w:highlight w:val="yellow"/>
        </w:rPr>
      </w:pPr>
      <w:r>
        <w:rPr>
          <w:rFonts w:ascii="Cambria" w:hAnsi="Cambria"/>
          <w:sz w:val="20"/>
          <w:szCs w:val="20"/>
        </w:rPr>
        <w:t>2.</w:t>
      </w:r>
      <w:r>
        <w:rPr>
          <w:rFonts w:ascii="Cambria" w:hAnsi="Cambria"/>
          <w:sz w:val="20"/>
          <w:szCs w:val="20"/>
        </w:rPr>
        <w:tab/>
      </w:r>
      <w:r w:rsidRPr="00BA2363">
        <w:rPr>
          <w:rFonts w:ascii="Cambria" w:hAnsi="Cambria"/>
          <w:sz w:val="20"/>
          <w:szCs w:val="20"/>
        </w:rPr>
        <w:t xml:space="preserve">On </w:t>
      </w:r>
      <w:r>
        <w:rPr>
          <w:rFonts w:ascii="Cambria" w:hAnsi="Cambria"/>
          <w:sz w:val="20"/>
          <w:szCs w:val="20"/>
        </w:rPr>
        <w:t>November</w:t>
      </w:r>
      <w:r w:rsidR="00F478AC">
        <w:rPr>
          <w:rFonts w:ascii="Cambria" w:hAnsi="Cambria"/>
          <w:sz w:val="20"/>
          <w:szCs w:val="20"/>
        </w:rPr>
        <w:t xml:space="preserve"> 20</w:t>
      </w:r>
      <w:r w:rsidRPr="00BA2363">
        <w:rPr>
          <w:rFonts w:ascii="Cambria" w:hAnsi="Cambria"/>
          <w:sz w:val="20"/>
          <w:szCs w:val="20"/>
        </w:rPr>
        <w:t>, 20</w:t>
      </w:r>
      <w:r w:rsidR="00F478AC">
        <w:rPr>
          <w:rFonts w:ascii="Cambria" w:hAnsi="Cambria"/>
          <w:sz w:val="20"/>
          <w:szCs w:val="20"/>
        </w:rPr>
        <w:t>18</w:t>
      </w:r>
      <w:r w:rsidRPr="00BA2363">
        <w:rPr>
          <w:rFonts w:ascii="Cambria" w:hAnsi="Cambria"/>
          <w:sz w:val="20"/>
          <w:szCs w:val="20"/>
        </w:rPr>
        <w:t xml:space="preserve">, the IACHR published Report No. </w:t>
      </w:r>
      <w:r w:rsidR="00F478AC">
        <w:rPr>
          <w:rFonts w:ascii="Cambria" w:hAnsi="Cambria"/>
          <w:sz w:val="20"/>
          <w:szCs w:val="20"/>
        </w:rPr>
        <w:t>130</w:t>
      </w:r>
      <w:r w:rsidRPr="00BA2363">
        <w:rPr>
          <w:rFonts w:ascii="Cambria" w:hAnsi="Cambria"/>
          <w:sz w:val="20"/>
          <w:szCs w:val="20"/>
        </w:rPr>
        <w:t>/</w:t>
      </w:r>
      <w:r w:rsidR="00F478AC">
        <w:rPr>
          <w:rFonts w:ascii="Cambria" w:hAnsi="Cambria"/>
          <w:sz w:val="20"/>
          <w:szCs w:val="20"/>
        </w:rPr>
        <w:t>18</w:t>
      </w:r>
      <w:r w:rsidRPr="00BA2363">
        <w:rPr>
          <w:rFonts w:ascii="Cambria" w:hAnsi="Cambria"/>
          <w:sz w:val="20"/>
          <w:szCs w:val="20"/>
        </w:rPr>
        <w:t>, approving the friendly settlement agreement</w:t>
      </w:r>
      <w:r>
        <w:rPr>
          <w:rFonts w:ascii="Cambria" w:hAnsi="Cambria"/>
          <w:sz w:val="20"/>
          <w:szCs w:val="20"/>
        </w:rPr>
        <w:t>.</w:t>
      </w:r>
    </w:p>
    <w:p w14:paraId="649B806B" w14:textId="77777777" w:rsidR="00FB6FD5" w:rsidRDefault="00FB6FD5" w:rsidP="00F5768F">
      <w:pPr>
        <w:tabs>
          <w:tab w:val="left" w:pos="0"/>
        </w:tabs>
        <w:ind w:left="720"/>
        <w:contextualSpacing/>
        <w:jc w:val="both"/>
        <w:rPr>
          <w:rFonts w:ascii="Cambria" w:hAnsi="Cambria" w:cs="Calibri Light"/>
          <w:color w:val="000000"/>
          <w:highlight w:val="yellow"/>
        </w:rPr>
      </w:pPr>
    </w:p>
    <w:p w14:paraId="156A2913" w14:textId="77777777" w:rsidR="00FB6FD5" w:rsidRPr="00F5768F" w:rsidRDefault="00FB6FD5" w:rsidP="00F5768F">
      <w:pPr>
        <w:tabs>
          <w:tab w:val="left" w:pos="0"/>
        </w:tabs>
        <w:ind w:left="720"/>
        <w:contextualSpacing/>
        <w:jc w:val="both"/>
        <w:rPr>
          <w:rFonts w:ascii="Cambria" w:hAnsi="Cambria" w:cs="Calibri Light"/>
          <w:color w:val="000000"/>
          <w:highlight w:val="yellow"/>
        </w:rPr>
      </w:pPr>
    </w:p>
    <w:p w14:paraId="0D0D4146" w14:textId="77777777" w:rsidR="00F9344E" w:rsidRPr="00550B55" w:rsidRDefault="00F9344E" w:rsidP="00F9344E">
      <w:pPr>
        <w:spacing w:after="0" w:line="240" w:lineRule="auto"/>
        <w:ind w:left="709"/>
        <w:contextualSpacing/>
        <w:jc w:val="both"/>
        <w:rPr>
          <w:rFonts w:ascii="Cambria" w:eastAsia="Batang" w:hAnsi="Cambria"/>
          <w:bCs/>
          <w:color w:val="080808"/>
          <w:highlight w:val="yellow"/>
        </w:rPr>
      </w:pPr>
    </w:p>
    <w:p w14:paraId="554FEE1F" w14:textId="77777777" w:rsidR="001541D4" w:rsidRPr="007175E2" w:rsidRDefault="001541D4" w:rsidP="00637AFB">
      <w:pPr>
        <w:pStyle w:val="ListParagraph"/>
        <w:numPr>
          <w:ilvl w:val="0"/>
          <w:numId w:val="37"/>
        </w:numPr>
        <w:spacing w:after="0" w:line="240" w:lineRule="auto"/>
        <w:ind w:left="0" w:firstLine="720"/>
        <w:jc w:val="both"/>
        <w:rPr>
          <w:rFonts w:ascii="Cambria" w:eastAsia="Batang" w:hAnsi="Cambria" w:cs="Calibri Light"/>
          <w:b/>
          <w:color w:val="000000"/>
        </w:rPr>
      </w:pPr>
      <w:r w:rsidRPr="007175E2">
        <w:rPr>
          <w:rFonts w:ascii="Cambria" w:eastAsia="Batang" w:hAnsi="Cambria" w:cs="Calibri Light"/>
          <w:b/>
          <w:color w:val="000000"/>
        </w:rPr>
        <w:lastRenderedPageBreak/>
        <w:t xml:space="preserve">ANALYSIS OF COMPLIANCE WITH THE CLAUSES OF THE FRIENDLY SETTLEMENT </w:t>
      </w:r>
    </w:p>
    <w:p w14:paraId="766F0236" w14:textId="77777777" w:rsidR="001541D4" w:rsidRPr="007175E2" w:rsidRDefault="001541D4" w:rsidP="001541D4">
      <w:pPr>
        <w:spacing w:after="0" w:line="240" w:lineRule="auto"/>
        <w:ind w:left="709" w:right="4"/>
        <w:jc w:val="both"/>
        <w:rPr>
          <w:rFonts w:ascii="Cambria" w:eastAsia="MS Mincho" w:hAnsi="Cambria"/>
          <w:color w:val="000000"/>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85"/>
      </w:tblGrid>
      <w:tr w:rsidR="00C03B37" w:rsidRPr="001C1660" w14:paraId="53700876" w14:textId="77777777" w:rsidTr="00655003">
        <w:trPr>
          <w:jc w:val="center"/>
        </w:trPr>
        <w:tc>
          <w:tcPr>
            <w:tcW w:w="73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B4C17D" w14:textId="77777777" w:rsidR="003E6F57" w:rsidRPr="00505E37" w:rsidRDefault="003E6F57" w:rsidP="00F024F0">
            <w:pPr>
              <w:tabs>
                <w:tab w:val="center" w:pos="2049"/>
              </w:tabs>
              <w:spacing w:after="0" w:line="240" w:lineRule="auto"/>
              <w:jc w:val="center"/>
              <w:rPr>
                <w:rFonts w:ascii="Cambria" w:eastAsia="Batang" w:hAnsi="Cambria"/>
                <w:b/>
                <w:color w:val="000000"/>
                <w:sz w:val="20"/>
                <w:szCs w:val="20"/>
              </w:rPr>
            </w:pPr>
            <w:r w:rsidRPr="00505E37">
              <w:rPr>
                <w:rFonts w:ascii="Cambria" w:eastAsia="Batang" w:hAnsi="Cambria"/>
                <w:b/>
                <w:color w:val="000000"/>
                <w:sz w:val="20"/>
                <w:szCs w:val="20"/>
              </w:rPr>
              <w:t xml:space="preserve">Clause of the Agreement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6F933C" w14:textId="77777777" w:rsidR="003E6F57" w:rsidRPr="00505E37" w:rsidRDefault="003E6F57" w:rsidP="00F024F0">
            <w:pPr>
              <w:spacing w:after="0" w:line="240" w:lineRule="auto"/>
              <w:jc w:val="center"/>
              <w:rPr>
                <w:rFonts w:ascii="Cambria" w:eastAsia="Batang" w:hAnsi="Cambria"/>
                <w:b/>
                <w:color w:val="000000"/>
                <w:sz w:val="20"/>
                <w:szCs w:val="20"/>
              </w:rPr>
            </w:pPr>
            <w:r w:rsidRPr="00505E37">
              <w:rPr>
                <w:rFonts w:ascii="Cambria" w:eastAsia="Batang" w:hAnsi="Cambria"/>
                <w:b/>
                <w:color w:val="000000"/>
                <w:sz w:val="20"/>
                <w:szCs w:val="20"/>
              </w:rPr>
              <w:t xml:space="preserve">Status of Implementation </w:t>
            </w:r>
          </w:p>
        </w:tc>
      </w:tr>
      <w:tr w:rsidR="00B554FC" w:rsidRPr="001C1660" w14:paraId="7FF98348"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377599E5" w14:textId="3C8E3E13" w:rsidR="00B554FC" w:rsidRPr="00505E37" w:rsidRDefault="00F5768F" w:rsidP="00B554FC">
            <w:pPr>
              <w:spacing w:after="0" w:line="240" w:lineRule="auto"/>
              <w:jc w:val="both"/>
              <w:rPr>
                <w:rFonts w:ascii="Cambria" w:eastAsia="Batang" w:hAnsi="Cambria"/>
                <w:color w:val="080808"/>
                <w:sz w:val="20"/>
                <w:szCs w:val="20"/>
              </w:rPr>
            </w:pPr>
            <w:r w:rsidRPr="00505E37">
              <w:rPr>
                <w:rFonts w:ascii="Cambria" w:eastAsia="Batang" w:hAnsi="Cambria"/>
                <w:b/>
                <w:bCs/>
                <w:color w:val="080808"/>
                <w:sz w:val="20"/>
                <w:szCs w:val="20"/>
              </w:rPr>
              <w:t>FIRST: RECOGNITION OF RESPONSIBILITY [...]</w:t>
            </w:r>
          </w:p>
        </w:tc>
        <w:tc>
          <w:tcPr>
            <w:tcW w:w="1985" w:type="dxa"/>
            <w:tcBorders>
              <w:top w:val="single" w:sz="4" w:space="0" w:color="auto"/>
              <w:left w:val="single" w:sz="4" w:space="0" w:color="auto"/>
              <w:bottom w:val="single" w:sz="4" w:space="0" w:color="auto"/>
              <w:right w:val="single" w:sz="4" w:space="0" w:color="auto"/>
            </w:tcBorders>
            <w:vAlign w:val="center"/>
          </w:tcPr>
          <w:p w14:paraId="359DC0C8" w14:textId="757F9218" w:rsidR="00B554FC" w:rsidRPr="00505E37" w:rsidRDefault="00B554FC" w:rsidP="00550B55">
            <w:pPr>
              <w:spacing w:after="0" w:line="240" w:lineRule="auto"/>
              <w:jc w:val="center"/>
              <w:rPr>
                <w:rFonts w:ascii="Cambria" w:eastAsia="Batang" w:hAnsi="Cambria"/>
                <w:b/>
                <w:color w:val="000000"/>
                <w:sz w:val="20"/>
                <w:szCs w:val="20"/>
                <w:lang w:eastAsia="es-ES_tradnl"/>
              </w:rPr>
            </w:pPr>
            <w:r w:rsidRPr="00505E37">
              <w:rPr>
                <w:rFonts w:ascii="Cambria" w:eastAsia="Batang" w:hAnsi="Cambria"/>
                <w:b/>
                <w:color w:val="000000"/>
                <w:sz w:val="20"/>
                <w:szCs w:val="20"/>
                <w:lang w:eastAsia="es-ES_tradnl"/>
              </w:rPr>
              <w:t>Declarative clause</w:t>
            </w:r>
          </w:p>
        </w:tc>
      </w:tr>
      <w:tr w:rsidR="00550B55" w:rsidRPr="001C1660" w14:paraId="05E01043" w14:textId="77777777" w:rsidTr="00655003">
        <w:trPr>
          <w:trHeight w:val="221"/>
          <w:jc w:val="center"/>
        </w:trPr>
        <w:tc>
          <w:tcPr>
            <w:tcW w:w="7371" w:type="dxa"/>
            <w:tcBorders>
              <w:top w:val="single" w:sz="4" w:space="0" w:color="auto"/>
              <w:left w:val="single" w:sz="4" w:space="0" w:color="auto"/>
              <w:bottom w:val="single" w:sz="4" w:space="0" w:color="auto"/>
              <w:right w:val="single" w:sz="4" w:space="0" w:color="auto"/>
            </w:tcBorders>
            <w:vAlign w:val="center"/>
          </w:tcPr>
          <w:p w14:paraId="3E3E55FC" w14:textId="77777777" w:rsidR="00F5768F" w:rsidRPr="00505E37" w:rsidRDefault="00F5768F" w:rsidP="00F5768F">
            <w:pPr>
              <w:spacing w:after="0" w:line="240" w:lineRule="auto"/>
              <w:jc w:val="both"/>
              <w:rPr>
                <w:rFonts w:ascii="Cambria" w:eastAsia="Batang" w:hAnsi="Cambria"/>
                <w:b/>
                <w:bCs/>
                <w:color w:val="080808"/>
                <w:sz w:val="20"/>
                <w:szCs w:val="20"/>
              </w:rPr>
            </w:pPr>
            <w:r w:rsidRPr="00505E37">
              <w:rPr>
                <w:rFonts w:ascii="Cambria" w:eastAsia="Batang" w:hAnsi="Cambria"/>
                <w:b/>
                <w:bCs/>
                <w:color w:val="080808"/>
                <w:sz w:val="20"/>
                <w:szCs w:val="20"/>
              </w:rPr>
              <w:t>SECOND: PUBLIC APPOLOGY AND RECOGNITION</w:t>
            </w:r>
          </w:p>
          <w:p w14:paraId="7875765E" w14:textId="77777777" w:rsidR="00F5768F" w:rsidRPr="00505E37" w:rsidRDefault="00F5768F" w:rsidP="00F5768F">
            <w:pPr>
              <w:spacing w:after="0" w:line="240" w:lineRule="auto"/>
              <w:jc w:val="both"/>
              <w:rPr>
                <w:rFonts w:ascii="Cambria" w:eastAsia="Batang" w:hAnsi="Cambria"/>
                <w:color w:val="080808"/>
                <w:sz w:val="20"/>
                <w:szCs w:val="20"/>
              </w:rPr>
            </w:pPr>
            <w:r w:rsidRPr="00505E37">
              <w:rPr>
                <w:rFonts w:ascii="Cambria" w:eastAsia="Batang" w:hAnsi="Cambria"/>
                <w:color w:val="080808"/>
                <w:sz w:val="20"/>
                <w:szCs w:val="20"/>
              </w:rPr>
              <w:t>The State of Paraguay, within four months of signing this Agreement, will carry out an act of public apology and acknowledgment of international responsibility, in relation to previously recognized violations of human rights.</w:t>
            </w:r>
          </w:p>
          <w:p w14:paraId="4D4ADB79" w14:textId="77777777" w:rsidR="00F5768F" w:rsidRPr="00505E37" w:rsidRDefault="00F5768F" w:rsidP="00F5768F">
            <w:pPr>
              <w:spacing w:after="0" w:line="240" w:lineRule="auto"/>
              <w:jc w:val="both"/>
              <w:rPr>
                <w:rFonts w:ascii="Cambria" w:eastAsia="Batang" w:hAnsi="Cambria"/>
                <w:color w:val="080808"/>
                <w:sz w:val="20"/>
                <w:szCs w:val="20"/>
              </w:rPr>
            </w:pPr>
            <w:r w:rsidRPr="00505E37">
              <w:rPr>
                <w:rFonts w:ascii="Cambria" w:eastAsia="Batang" w:hAnsi="Cambria"/>
                <w:color w:val="080808"/>
                <w:sz w:val="20"/>
                <w:szCs w:val="20"/>
              </w:rPr>
              <w:t>The apology and acknowledgement will be drawn up by mutual accord of the State and the victim’s representatives. Said acknowledgement will be made at a public event where the Minister of Defense, the Commander of the Army, and a representative of the Commander of the Military Forces, and other high-level authorities will be in attendance. The State will guarantee the presence of the victim’s relatives at the event and will inform their representatives, human rights organizations, and the media about the event at least 15 days in advance.</w:t>
            </w:r>
          </w:p>
          <w:p w14:paraId="4BD29D61" w14:textId="77777777" w:rsidR="00F5768F" w:rsidRPr="00505E37" w:rsidRDefault="00F5768F" w:rsidP="00F5768F">
            <w:pPr>
              <w:spacing w:after="0" w:line="240" w:lineRule="auto"/>
              <w:jc w:val="both"/>
              <w:rPr>
                <w:rFonts w:ascii="Cambria" w:eastAsia="Batang" w:hAnsi="Cambria"/>
                <w:color w:val="080808"/>
                <w:sz w:val="20"/>
                <w:szCs w:val="20"/>
              </w:rPr>
            </w:pPr>
            <w:r w:rsidRPr="00505E37">
              <w:rPr>
                <w:rFonts w:ascii="Cambria" w:eastAsia="Batang" w:hAnsi="Cambria"/>
                <w:color w:val="080808"/>
                <w:sz w:val="20"/>
                <w:szCs w:val="20"/>
              </w:rPr>
              <w:t xml:space="preserve">The public apology and acknowledgement event will be broadcasted on </w:t>
            </w:r>
            <w:r w:rsidRPr="00505E37">
              <w:rPr>
                <w:rFonts w:ascii="Cambria" w:eastAsia="Batang" w:hAnsi="Cambria"/>
                <w:i/>
                <w:iCs/>
                <w:color w:val="080808"/>
                <w:sz w:val="20"/>
                <w:szCs w:val="20"/>
              </w:rPr>
              <w:t xml:space="preserve">Radio Nacional </w:t>
            </w:r>
            <w:r w:rsidRPr="00505E37">
              <w:rPr>
                <w:rFonts w:ascii="Cambria" w:eastAsia="Batang" w:hAnsi="Cambria"/>
                <w:color w:val="080808"/>
                <w:sz w:val="20"/>
                <w:szCs w:val="20"/>
              </w:rPr>
              <w:t>(in Spanish and Guaraní), and widely covered in other mass media outlets.</w:t>
            </w:r>
          </w:p>
          <w:p w14:paraId="30F40E5F" w14:textId="69EC65B5" w:rsidR="00550B55" w:rsidRPr="00505E37" w:rsidRDefault="00F5768F" w:rsidP="00F5768F">
            <w:pPr>
              <w:spacing w:after="0" w:line="240" w:lineRule="auto"/>
              <w:jc w:val="both"/>
              <w:rPr>
                <w:rFonts w:ascii="Cambria" w:eastAsia="Batang" w:hAnsi="Cambria"/>
                <w:color w:val="080808"/>
                <w:sz w:val="20"/>
                <w:szCs w:val="20"/>
              </w:rPr>
            </w:pPr>
            <w:r w:rsidRPr="00505E37">
              <w:rPr>
                <w:rFonts w:ascii="Cambria" w:eastAsia="Batang" w:hAnsi="Cambria"/>
                <w:color w:val="080808"/>
                <w:sz w:val="20"/>
                <w:szCs w:val="20"/>
              </w:rPr>
              <w:t>At the same time, the State commits to publishing the Friendly Settlement Agreement in its entirety in a daily newspaper with national circulation and in the Official Gazette. It will also be published on the websites of the Office of the President of the Republic and the Ministry of Foreign Relations and maintained online for at least six months.</w:t>
            </w:r>
          </w:p>
        </w:tc>
        <w:tc>
          <w:tcPr>
            <w:tcW w:w="1985" w:type="dxa"/>
            <w:tcBorders>
              <w:top w:val="single" w:sz="4" w:space="0" w:color="auto"/>
              <w:left w:val="single" w:sz="4" w:space="0" w:color="auto"/>
              <w:bottom w:val="single" w:sz="4" w:space="0" w:color="auto"/>
              <w:right w:val="single" w:sz="4" w:space="0" w:color="auto"/>
            </w:tcBorders>
            <w:vAlign w:val="center"/>
          </w:tcPr>
          <w:p w14:paraId="1DD81666" w14:textId="034EE289" w:rsidR="00550B55" w:rsidRPr="00505E37" w:rsidRDefault="00F5768F" w:rsidP="00550B55">
            <w:pPr>
              <w:spacing w:after="0" w:line="240" w:lineRule="auto"/>
              <w:jc w:val="center"/>
              <w:rPr>
                <w:rFonts w:ascii="Cambria" w:hAnsi="Cambria"/>
                <w:b/>
                <w:sz w:val="20"/>
                <w:szCs w:val="20"/>
              </w:rPr>
            </w:pPr>
            <w:r w:rsidRPr="00505E37">
              <w:rPr>
                <w:rFonts w:ascii="Cambria" w:eastAsia="Batang" w:hAnsi="Cambria"/>
                <w:b/>
                <w:bCs/>
                <w:color w:val="000000"/>
                <w:sz w:val="20"/>
                <w:szCs w:val="20"/>
                <w:lang w:eastAsia="es-ES_tradnl"/>
              </w:rPr>
              <w:t>Total</w:t>
            </w:r>
            <w:r w:rsidRPr="00505E37">
              <w:rPr>
                <w:rFonts w:ascii="Cambria" w:eastAsia="Batang" w:hAnsi="Cambria"/>
                <w:b/>
                <w:bCs/>
                <w:color w:val="000000"/>
                <w:sz w:val="20"/>
                <w:szCs w:val="20"/>
                <w:vertAlign w:val="superscript"/>
                <w:lang w:eastAsia="es-ES_tradnl"/>
              </w:rPr>
              <w:footnoteReference w:id="1"/>
            </w:r>
          </w:p>
        </w:tc>
      </w:tr>
      <w:tr w:rsidR="00550B55" w:rsidRPr="001C1660" w14:paraId="0C4AA553" w14:textId="77777777" w:rsidTr="00550B55">
        <w:trPr>
          <w:trHeight w:val="20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4B682264" w14:textId="77777777" w:rsidR="00F5768F" w:rsidRPr="00505E37" w:rsidRDefault="00F5768F" w:rsidP="00F5768F">
            <w:pPr>
              <w:spacing w:after="0" w:line="240" w:lineRule="auto"/>
              <w:ind w:right="-18"/>
              <w:jc w:val="both"/>
              <w:rPr>
                <w:rFonts w:ascii="Cambria" w:hAnsi="Cambria"/>
                <w:b/>
                <w:bCs/>
                <w:color w:val="000000"/>
                <w:kern w:val="36"/>
                <w:sz w:val="20"/>
                <w:szCs w:val="20"/>
              </w:rPr>
            </w:pPr>
            <w:r w:rsidRPr="00505E37">
              <w:rPr>
                <w:rFonts w:ascii="Cambria" w:hAnsi="Cambria"/>
                <w:b/>
                <w:bCs/>
                <w:color w:val="000000"/>
                <w:kern w:val="36"/>
                <w:sz w:val="20"/>
                <w:szCs w:val="20"/>
              </w:rPr>
              <w:t>THIRD: MEASURES FOR SOCIAL REHABILITATION</w:t>
            </w:r>
          </w:p>
          <w:p w14:paraId="74FC2F57" w14:textId="77777777" w:rsidR="00F5768F" w:rsidRPr="00505E37" w:rsidRDefault="00F5768F" w:rsidP="00F5768F">
            <w:pPr>
              <w:spacing w:after="0" w:line="240" w:lineRule="auto"/>
              <w:ind w:right="-18"/>
              <w:jc w:val="both"/>
              <w:rPr>
                <w:rFonts w:ascii="Cambria" w:hAnsi="Cambria"/>
                <w:bCs/>
                <w:color w:val="000000"/>
                <w:kern w:val="36"/>
                <w:sz w:val="20"/>
                <w:szCs w:val="20"/>
              </w:rPr>
            </w:pPr>
            <w:r w:rsidRPr="00505E37">
              <w:rPr>
                <w:rFonts w:ascii="Cambria" w:hAnsi="Cambria"/>
                <w:bCs/>
                <w:color w:val="000000"/>
                <w:kern w:val="36"/>
                <w:sz w:val="20"/>
                <w:szCs w:val="20"/>
              </w:rPr>
              <w:t>The Paraguayan State commits to conveying to Ms. Semprioniana Centurion, the victim’s mother, a plot of land selected by the petitioners that is located in Tarumandy Subdivision 8 of the Luque district. This plot of land will be conveyed by the Secretariat for Social Action (SAS).</w:t>
            </w:r>
          </w:p>
          <w:p w14:paraId="0E34A83C" w14:textId="09B114B8" w:rsidR="00550B55" w:rsidRPr="00505E37" w:rsidRDefault="00F5768F" w:rsidP="00F5768F">
            <w:pPr>
              <w:pStyle w:val="BodyTextIndent"/>
              <w:spacing w:after="0"/>
              <w:ind w:left="0" w:right="-18"/>
              <w:jc w:val="both"/>
              <w:rPr>
                <w:color w:val="000000"/>
                <w:sz w:val="20"/>
                <w:szCs w:val="20"/>
              </w:rPr>
            </w:pPr>
            <w:r w:rsidRPr="00505E37">
              <w:rPr>
                <w:rFonts w:eastAsia="Calibri" w:cs="Times New Roman"/>
                <w:bCs/>
                <w:color w:val="000000"/>
                <w:kern w:val="36"/>
                <w:sz w:val="20"/>
                <w:szCs w:val="20"/>
              </w:rPr>
              <w:t>The State also undertakes the commitment to build a house in keeping with the standards proposed by the lead agency on housing issues, the National Housing Secretariat (SENAVITAT), on the plot of land mentioned above.</w:t>
            </w:r>
          </w:p>
        </w:tc>
        <w:tc>
          <w:tcPr>
            <w:tcW w:w="1985" w:type="dxa"/>
            <w:tcBorders>
              <w:top w:val="single" w:sz="4" w:space="0" w:color="auto"/>
              <w:left w:val="single" w:sz="4" w:space="0" w:color="auto"/>
              <w:bottom w:val="single" w:sz="4" w:space="0" w:color="auto"/>
              <w:right w:val="single" w:sz="4" w:space="0" w:color="auto"/>
            </w:tcBorders>
            <w:vAlign w:val="center"/>
          </w:tcPr>
          <w:p w14:paraId="1526CB1C" w14:textId="6923D7ED" w:rsidR="00550B55" w:rsidRPr="00505E37" w:rsidRDefault="00E0051B" w:rsidP="00550B55">
            <w:pPr>
              <w:spacing w:after="0" w:line="240" w:lineRule="auto"/>
              <w:jc w:val="center"/>
              <w:rPr>
                <w:rFonts w:ascii="Cambria" w:hAnsi="Cambria"/>
                <w:b/>
                <w:color w:val="000000"/>
                <w:sz w:val="20"/>
                <w:szCs w:val="20"/>
              </w:rPr>
            </w:pPr>
            <w:r w:rsidRPr="00505E37">
              <w:rPr>
                <w:rFonts w:ascii="Cambria" w:hAnsi="Cambria"/>
                <w:b/>
                <w:color w:val="000000"/>
                <w:sz w:val="20"/>
                <w:szCs w:val="20"/>
              </w:rPr>
              <w:t>Total</w:t>
            </w:r>
            <w:r w:rsidRPr="00505E37">
              <w:rPr>
                <w:rStyle w:val="FootnoteReference"/>
                <w:rFonts w:ascii="Cambria" w:hAnsi="Cambria"/>
                <w:b/>
                <w:color w:val="000000"/>
                <w:sz w:val="20"/>
                <w:szCs w:val="20"/>
              </w:rPr>
              <w:footnoteReference w:id="2"/>
            </w:r>
          </w:p>
        </w:tc>
      </w:tr>
      <w:tr w:rsidR="00E0051B" w:rsidRPr="001C1660" w14:paraId="375A4668" w14:textId="77777777" w:rsidTr="00E0051B">
        <w:trPr>
          <w:trHeight w:val="983"/>
          <w:jc w:val="center"/>
        </w:trPr>
        <w:tc>
          <w:tcPr>
            <w:tcW w:w="7371" w:type="dxa"/>
            <w:tcBorders>
              <w:top w:val="single" w:sz="4" w:space="0" w:color="auto"/>
              <w:left w:val="single" w:sz="4" w:space="0" w:color="auto"/>
              <w:bottom w:val="single" w:sz="4" w:space="0" w:color="auto"/>
              <w:right w:val="single" w:sz="4" w:space="0" w:color="auto"/>
            </w:tcBorders>
            <w:vAlign w:val="center"/>
          </w:tcPr>
          <w:p w14:paraId="740CAABA" w14:textId="77777777" w:rsidR="00F5768F" w:rsidRPr="00505E37" w:rsidRDefault="00F5768F" w:rsidP="00F5768F">
            <w:pPr>
              <w:spacing w:after="0" w:line="240" w:lineRule="auto"/>
              <w:ind w:right="72"/>
              <w:jc w:val="both"/>
              <w:rPr>
                <w:rFonts w:ascii="Cambria" w:hAnsi="Cambria"/>
                <w:b/>
                <w:bCs/>
                <w:color w:val="000000"/>
                <w:kern w:val="36"/>
                <w:sz w:val="20"/>
                <w:szCs w:val="20"/>
              </w:rPr>
            </w:pPr>
            <w:r w:rsidRPr="00505E37">
              <w:rPr>
                <w:rFonts w:ascii="Cambria" w:hAnsi="Cambria"/>
                <w:b/>
                <w:bCs/>
                <w:color w:val="000000"/>
                <w:kern w:val="36"/>
                <w:sz w:val="20"/>
                <w:szCs w:val="20"/>
              </w:rPr>
              <w:t>FOURTH: MEASURES OF SATISFACTION</w:t>
            </w:r>
          </w:p>
          <w:p w14:paraId="1E55BBEA" w14:textId="3C6E71B3" w:rsidR="00E0051B" w:rsidRPr="00505E37" w:rsidRDefault="00F5768F" w:rsidP="00F5768F">
            <w:pPr>
              <w:spacing w:after="0" w:line="240" w:lineRule="auto"/>
              <w:ind w:right="72"/>
              <w:jc w:val="both"/>
              <w:rPr>
                <w:rFonts w:ascii="Cambria" w:hAnsi="Cambria"/>
                <w:b/>
                <w:bCs/>
                <w:color w:val="000000"/>
                <w:kern w:val="36"/>
                <w:sz w:val="20"/>
                <w:szCs w:val="20"/>
              </w:rPr>
            </w:pPr>
            <w:r w:rsidRPr="00505E37">
              <w:rPr>
                <w:rFonts w:ascii="Cambria" w:hAnsi="Cambria"/>
                <w:color w:val="000000"/>
                <w:kern w:val="36"/>
                <w:sz w:val="20"/>
                <w:szCs w:val="20"/>
              </w:rPr>
              <w:t>At the military detachment where the minor child died, the State shall hang a commemorative plaque with a text agreed to by the parties which refers to the child soldier’s death. Furthermore, a street will be named for the minor child in the city of Luque-Loma Merlo, where the victim’s relatives live.</w:t>
            </w:r>
          </w:p>
        </w:tc>
        <w:tc>
          <w:tcPr>
            <w:tcW w:w="1985" w:type="dxa"/>
            <w:tcBorders>
              <w:top w:val="single" w:sz="4" w:space="0" w:color="auto"/>
              <w:left w:val="single" w:sz="4" w:space="0" w:color="auto"/>
              <w:bottom w:val="single" w:sz="4" w:space="0" w:color="auto"/>
              <w:right w:val="single" w:sz="4" w:space="0" w:color="auto"/>
            </w:tcBorders>
            <w:vAlign w:val="center"/>
          </w:tcPr>
          <w:p w14:paraId="5A16CA43" w14:textId="75FB7E77" w:rsidR="00E0051B" w:rsidRPr="00505E37" w:rsidRDefault="00F5768F" w:rsidP="00550B55">
            <w:pPr>
              <w:spacing w:after="0" w:line="240" w:lineRule="auto"/>
              <w:jc w:val="center"/>
              <w:rPr>
                <w:rFonts w:ascii="Cambria" w:hAnsi="Cambria"/>
                <w:b/>
                <w:color w:val="000000"/>
                <w:sz w:val="20"/>
                <w:szCs w:val="20"/>
              </w:rPr>
            </w:pPr>
            <w:r w:rsidRPr="00505E37">
              <w:rPr>
                <w:rFonts w:ascii="Cambria" w:hAnsi="Cambria"/>
                <w:b/>
                <w:bCs/>
                <w:color w:val="000000"/>
                <w:sz w:val="20"/>
                <w:szCs w:val="20"/>
              </w:rPr>
              <w:t>Total</w:t>
            </w:r>
            <w:r w:rsidRPr="00505E37">
              <w:rPr>
                <w:rFonts w:ascii="Cambria" w:hAnsi="Cambria"/>
                <w:b/>
                <w:bCs/>
                <w:color w:val="000000"/>
                <w:sz w:val="20"/>
                <w:szCs w:val="20"/>
                <w:vertAlign w:val="superscript"/>
              </w:rPr>
              <w:footnoteReference w:id="3"/>
            </w:r>
          </w:p>
        </w:tc>
      </w:tr>
      <w:tr w:rsidR="00E0051B" w:rsidRPr="001C1660" w14:paraId="21F25E42" w14:textId="77777777" w:rsidTr="00E0051B">
        <w:trPr>
          <w:trHeight w:val="1691"/>
          <w:jc w:val="center"/>
        </w:trPr>
        <w:tc>
          <w:tcPr>
            <w:tcW w:w="7371" w:type="dxa"/>
            <w:tcBorders>
              <w:top w:val="single" w:sz="4" w:space="0" w:color="auto"/>
              <w:left w:val="single" w:sz="4" w:space="0" w:color="auto"/>
              <w:bottom w:val="single" w:sz="4" w:space="0" w:color="auto"/>
              <w:right w:val="single" w:sz="4" w:space="0" w:color="auto"/>
            </w:tcBorders>
            <w:vAlign w:val="center"/>
          </w:tcPr>
          <w:p w14:paraId="1194724F" w14:textId="77777777" w:rsidR="00F5768F" w:rsidRPr="00505E37" w:rsidRDefault="00F5768F" w:rsidP="00F5768F">
            <w:pPr>
              <w:spacing w:after="0" w:line="240" w:lineRule="auto"/>
              <w:ind w:right="-18"/>
              <w:jc w:val="both"/>
              <w:rPr>
                <w:rFonts w:ascii="Cambria" w:hAnsi="Cambria"/>
                <w:b/>
                <w:bCs/>
                <w:color w:val="000000"/>
                <w:kern w:val="36"/>
                <w:sz w:val="20"/>
                <w:szCs w:val="20"/>
              </w:rPr>
            </w:pPr>
            <w:r w:rsidRPr="00505E37">
              <w:rPr>
                <w:rFonts w:ascii="Cambria" w:hAnsi="Cambria"/>
                <w:b/>
                <w:bCs/>
                <w:color w:val="000000"/>
                <w:kern w:val="36"/>
                <w:sz w:val="20"/>
                <w:szCs w:val="20"/>
              </w:rPr>
              <w:t>FIFTH: PRIMARY CARE AND COMPREHENSIVE HEALTH MEASURES</w:t>
            </w:r>
          </w:p>
          <w:p w14:paraId="7B937B1B" w14:textId="06F200C4" w:rsidR="00E0051B" w:rsidRPr="00505E37" w:rsidRDefault="00F5768F" w:rsidP="00F5768F">
            <w:pPr>
              <w:spacing w:after="0" w:line="240" w:lineRule="auto"/>
              <w:ind w:right="-18"/>
              <w:jc w:val="both"/>
              <w:rPr>
                <w:rFonts w:ascii="Cambria" w:hAnsi="Cambria"/>
                <w:bCs/>
                <w:color w:val="000000"/>
                <w:kern w:val="36"/>
                <w:sz w:val="20"/>
                <w:szCs w:val="20"/>
              </w:rPr>
            </w:pPr>
            <w:r w:rsidRPr="00505E37">
              <w:rPr>
                <w:rFonts w:ascii="Cambria" w:hAnsi="Cambria"/>
                <w:bCs/>
                <w:color w:val="000000"/>
                <w:kern w:val="36"/>
                <w:sz w:val="20"/>
                <w:szCs w:val="20"/>
              </w:rPr>
              <w:t>The Republic of Paraguay commits to providing free medical and psychological care to the victim’s parents and siblings, as well as medication to treat the ailments that they suffer from. This care is to be furnished at the hospital or health clinic closest to the parents’ domicile that offers the services and medication that are appropriate for the exact treatment required in each case, regardless of the care provided at the military hospital</w:t>
            </w:r>
          </w:p>
        </w:tc>
        <w:tc>
          <w:tcPr>
            <w:tcW w:w="1985" w:type="dxa"/>
            <w:tcBorders>
              <w:top w:val="single" w:sz="4" w:space="0" w:color="auto"/>
              <w:left w:val="single" w:sz="4" w:space="0" w:color="auto"/>
              <w:bottom w:val="single" w:sz="4" w:space="0" w:color="auto"/>
              <w:right w:val="single" w:sz="4" w:space="0" w:color="auto"/>
            </w:tcBorders>
            <w:vAlign w:val="center"/>
          </w:tcPr>
          <w:p w14:paraId="63E6A26F" w14:textId="00364DAF" w:rsidR="00E0051B" w:rsidRPr="00505E37" w:rsidRDefault="00F5768F" w:rsidP="00550B55">
            <w:pPr>
              <w:spacing w:after="0" w:line="240" w:lineRule="auto"/>
              <w:jc w:val="center"/>
              <w:rPr>
                <w:rFonts w:ascii="Cambria" w:hAnsi="Cambria"/>
                <w:b/>
                <w:color w:val="000000"/>
                <w:sz w:val="20"/>
                <w:szCs w:val="20"/>
              </w:rPr>
            </w:pPr>
            <w:r w:rsidRPr="00505E37">
              <w:rPr>
                <w:rFonts w:ascii="Cambria" w:hAnsi="Cambria"/>
                <w:b/>
                <w:bCs/>
                <w:color w:val="000000"/>
                <w:sz w:val="20"/>
                <w:szCs w:val="20"/>
              </w:rPr>
              <w:t>Total</w:t>
            </w:r>
            <w:r w:rsidRPr="00505E37">
              <w:rPr>
                <w:rFonts w:ascii="Cambria" w:hAnsi="Cambria"/>
                <w:b/>
                <w:bCs/>
                <w:color w:val="000000"/>
                <w:sz w:val="20"/>
                <w:szCs w:val="20"/>
                <w:vertAlign w:val="superscript"/>
              </w:rPr>
              <w:footnoteReference w:id="4"/>
            </w:r>
          </w:p>
        </w:tc>
      </w:tr>
      <w:tr w:rsidR="00E0051B" w:rsidRPr="00FB6FD5" w14:paraId="241EC6A9" w14:textId="77777777" w:rsidTr="00550B55">
        <w:trPr>
          <w:trHeight w:val="2008"/>
          <w:jc w:val="center"/>
        </w:trPr>
        <w:tc>
          <w:tcPr>
            <w:tcW w:w="7371" w:type="dxa"/>
            <w:tcBorders>
              <w:top w:val="single" w:sz="4" w:space="0" w:color="auto"/>
              <w:left w:val="single" w:sz="4" w:space="0" w:color="auto"/>
              <w:bottom w:val="single" w:sz="4" w:space="0" w:color="auto"/>
              <w:right w:val="single" w:sz="4" w:space="0" w:color="auto"/>
            </w:tcBorders>
            <w:vAlign w:val="center"/>
          </w:tcPr>
          <w:p w14:paraId="7B36E418" w14:textId="77777777" w:rsidR="00F5768F" w:rsidRPr="00505E37" w:rsidRDefault="00F5768F" w:rsidP="00F5768F">
            <w:pPr>
              <w:spacing w:after="0" w:line="240" w:lineRule="auto"/>
              <w:ind w:right="-18"/>
              <w:jc w:val="both"/>
              <w:rPr>
                <w:rFonts w:ascii="Cambria" w:hAnsi="Cambria"/>
                <w:b/>
                <w:bCs/>
                <w:color w:val="000000"/>
                <w:kern w:val="36"/>
                <w:sz w:val="20"/>
                <w:szCs w:val="20"/>
              </w:rPr>
            </w:pPr>
            <w:r w:rsidRPr="00505E37">
              <w:rPr>
                <w:rFonts w:ascii="Cambria" w:hAnsi="Cambria"/>
                <w:b/>
                <w:bCs/>
                <w:color w:val="000000"/>
                <w:kern w:val="36"/>
                <w:sz w:val="20"/>
                <w:szCs w:val="20"/>
              </w:rPr>
              <w:lastRenderedPageBreak/>
              <w:t>SIXTH: MONETARY REPARATIONS</w:t>
            </w:r>
          </w:p>
          <w:p w14:paraId="03D96DAD" w14:textId="77777777" w:rsidR="00F5768F" w:rsidRPr="00505E37" w:rsidRDefault="00F5768F" w:rsidP="00F5768F">
            <w:pPr>
              <w:spacing w:after="0" w:line="240" w:lineRule="auto"/>
              <w:ind w:right="-18"/>
              <w:jc w:val="both"/>
              <w:rPr>
                <w:rFonts w:ascii="Cambria" w:hAnsi="Cambria"/>
                <w:bCs/>
                <w:color w:val="000000"/>
                <w:kern w:val="36"/>
                <w:sz w:val="20"/>
                <w:szCs w:val="20"/>
              </w:rPr>
            </w:pPr>
            <w:r w:rsidRPr="00505E37">
              <w:rPr>
                <w:rFonts w:ascii="Cambria" w:hAnsi="Cambria"/>
                <w:bCs/>
                <w:color w:val="000000"/>
                <w:kern w:val="36"/>
                <w:sz w:val="20"/>
                <w:szCs w:val="20"/>
              </w:rPr>
              <w:t>For purposes of ensuring monetary reparations the State undertakes the commitment to:</w:t>
            </w:r>
          </w:p>
          <w:p w14:paraId="47512A30" w14:textId="77777777" w:rsidR="00F5768F" w:rsidRPr="00505E37" w:rsidRDefault="00F5768F" w:rsidP="00F5768F">
            <w:pPr>
              <w:spacing w:after="0" w:line="240" w:lineRule="auto"/>
              <w:ind w:right="-18"/>
              <w:jc w:val="both"/>
              <w:rPr>
                <w:rFonts w:ascii="Cambria" w:hAnsi="Cambria"/>
                <w:bCs/>
                <w:color w:val="000000"/>
                <w:kern w:val="36"/>
                <w:sz w:val="20"/>
                <w:szCs w:val="20"/>
              </w:rPr>
            </w:pPr>
            <w:r w:rsidRPr="00505E37">
              <w:rPr>
                <w:rFonts w:ascii="Cambria" w:hAnsi="Cambria"/>
                <w:bCs/>
                <w:color w:val="000000"/>
                <w:kern w:val="36"/>
                <w:sz w:val="20"/>
                <w:szCs w:val="20"/>
              </w:rPr>
              <w:t>a. Pay the sum of US$30,000 (thirty thousand US dollars) as compensation, which will be paid to the mother of the victim in this case within a year as from the signing of this agreement.</w:t>
            </w:r>
          </w:p>
          <w:p w14:paraId="1252A8CB" w14:textId="0FCC50F4" w:rsidR="00E0051B" w:rsidRPr="00505E37" w:rsidRDefault="00F5768F" w:rsidP="00F5768F">
            <w:pPr>
              <w:spacing w:after="0" w:line="240" w:lineRule="auto"/>
              <w:ind w:right="-18"/>
              <w:jc w:val="both"/>
              <w:rPr>
                <w:rFonts w:ascii="Cambria" w:hAnsi="Cambria"/>
                <w:bCs/>
                <w:color w:val="000000"/>
                <w:kern w:val="36"/>
                <w:sz w:val="20"/>
                <w:szCs w:val="20"/>
              </w:rPr>
            </w:pPr>
            <w:r w:rsidRPr="00505E37">
              <w:rPr>
                <w:rFonts w:ascii="Cambria" w:hAnsi="Cambria"/>
                <w:bCs/>
                <w:color w:val="000000"/>
                <w:kern w:val="36"/>
                <w:sz w:val="20"/>
                <w:szCs w:val="20"/>
              </w:rPr>
              <w:t>b. Carry out the procedures leading to the formalization of the victim’s relatives’ pension within a year as from the signing of this agreement.</w:t>
            </w:r>
          </w:p>
        </w:tc>
        <w:tc>
          <w:tcPr>
            <w:tcW w:w="1985" w:type="dxa"/>
            <w:tcBorders>
              <w:top w:val="single" w:sz="4" w:space="0" w:color="auto"/>
              <w:left w:val="single" w:sz="4" w:space="0" w:color="auto"/>
              <w:bottom w:val="single" w:sz="4" w:space="0" w:color="auto"/>
              <w:right w:val="single" w:sz="4" w:space="0" w:color="auto"/>
            </w:tcBorders>
            <w:vAlign w:val="center"/>
          </w:tcPr>
          <w:p w14:paraId="08223A2F" w14:textId="609B75F0" w:rsidR="00E0051B" w:rsidRPr="00505E37" w:rsidRDefault="00F5768F" w:rsidP="00550B55">
            <w:pPr>
              <w:spacing w:after="0" w:line="240" w:lineRule="auto"/>
              <w:jc w:val="center"/>
              <w:rPr>
                <w:rFonts w:ascii="Cambria" w:hAnsi="Cambria"/>
                <w:b/>
                <w:color w:val="000000"/>
                <w:sz w:val="20"/>
                <w:szCs w:val="20"/>
              </w:rPr>
            </w:pPr>
            <w:r w:rsidRPr="00505E37">
              <w:rPr>
                <w:rFonts w:ascii="Cambria" w:hAnsi="Cambria"/>
                <w:b/>
                <w:bCs/>
                <w:color w:val="000000"/>
                <w:sz w:val="20"/>
                <w:szCs w:val="20"/>
              </w:rPr>
              <w:t>Total</w:t>
            </w:r>
            <w:r w:rsidRPr="00505E37">
              <w:rPr>
                <w:rFonts w:ascii="Cambria" w:hAnsi="Cambria"/>
                <w:b/>
                <w:bCs/>
                <w:color w:val="000000"/>
                <w:sz w:val="20"/>
                <w:szCs w:val="20"/>
                <w:vertAlign w:val="superscript"/>
              </w:rPr>
              <w:footnoteReference w:id="5"/>
            </w:r>
          </w:p>
        </w:tc>
      </w:tr>
    </w:tbl>
    <w:p w14:paraId="76569D6D" w14:textId="77777777" w:rsidR="003E6F57" w:rsidRPr="007175E2" w:rsidRDefault="003E6F57" w:rsidP="001541D4">
      <w:pPr>
        <w:spacing w:after="0" w:line="240" w:lineRule="auto"/>
        <w:ind w:left="709" w:right="4"/>
        <w:jc w:val="both"/>
        <w:rPr>
          <w:rFonts w:ascii="Cambria" w:eastAsia="MS Mincho" w:hAnsi="Cambria"/>
          <w:color w:val="000000"/>
          <w:highlight w:val="yellow"/>
        </w:rPr>
      </w:pPr>
    </w:p>
    <w:p w14:paraId="73E24492" w14:textId="77777777" w:rsidR="003E6F57" w:rsidRDefault="003E6F57"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 xml:space="preserve">LEVEL OF COMPLIANCE OF THE CASE </w:t>
      </w:r>
    </w:p>
    <w:p w14:paraId="67E53F02"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3A981D1A" w14:textId="1AEE678F" w:rsidR="00401DCE" w:rsidRPr="00505E37" w:rsidRDefault="00401DCE" w:rsidP="00401DCE">
      <w:pPr>
        <w:pStyle w:val="ListParagraph"/>
        <w:numPr>
          <w:ilvl w:val="6"/>
          <w:numId w:val="4"/>
        </w:numPr>
        <w:autoSpaceDE w:val="0"/>
        <w:autoSpaceDN w:val="0"/>
        <w:adjustRightInd w:val="0"/>
        <w:spacing w:after="0" w:line="240" w:lineRule="auto"/>
        <w:ind w:left="0" w:firstLine="709"/>
        <w:jc w:val="both"/>
        <w:rPr>
          <w:rFonts w:ascii="Cambria" w:eastAsia="Batang" w:hAnsi="Cambria" w:cs="Calibri Light"/>
          <w:b/>
          <w:color w:val="000000"/>
          <w:sz w:val="20"/>
          <w:szCs w:val="20"/>
        </w:rPr>
      </w:pPr>
      <w:r w:rsidRPr="00505E37">
        <w:rPr>
          <w:rFonts w:ascii="Cambria" w:hAnsi="Cambria"/>
          <w:color w:val="080808"/>
          <w:sz w:val="20"/>
          <w:szCs w:val="20"/>
        </w:rPr>
        <w:t>The Commission declared full compliance with the case and the ceasing of the follow-up of the friendly settlement agreement in the 2023 Annual Report.</w:t>
      </w:r>
    </w:p>
    <w:p w14:paraId="0BE1F76F" w14:textId="77777777" w:rsidR="00401DCE" w:rsidRDefault="00401DCE" w:rsidP="00401DCE">
      <w:pPr>
        <w:tabs>
          <w:tab w:val="left" w:pos="720"/>
        </w:tabs>
        <w:autoSpaceDE w:val="0"/>
        <w:autoSpaceDN w:val="0"/>
        <w:adjustRightInd w:val="0"/>
        <w:spacing w:after="0" w:line="240" w:lineRule="auto"/>
        <w:ind w:left="1440"/>
        <w:jc w:val="both"/>
        <w:rPr>
          <w:rFonts w:ascii="Cambria" w:eastAsia="Batang" w:hAnsi="Cambria" w:cs="Calibri Light"/>
          <w:b/>
          <w:color w:val="000000"/>
        </w:rPr>
      </w:pPr>
    </w:p>
    <w:p w14:paraId="6D61D9A6" w14:textId="5DE79CDB" w:rsidR="00401DCE" w:rsidRPr="007175E2" w:rsidRDefault="00401DCE" w:rsidP="00637AFB">
      <w:pPr>
        <w:numPr>
          <w:ilvl w:val="0"/>
          <w:numId w:val="37"/>
        </w:numPr>
        <w:tabs>
          <w:tab w:val="left" w:pos="720"/>
        </w:tabs>
        <w:autoSpaceDE w:val="0"/>
        <w:autoSpaceDN w:val="0"/>
        <w:adjustRightInd w:val="0"/>
        <w:spacing w:after="0" w:line="240" w:lineRule="auto"/>
        <w:jc w:val="both"/>
        <w:rPr>
          <w:rFonts w:ascii="Cambria" w:eastAsia="Batang" w:hAnsi="Cambria" w:cs="Calibri Light"/>
          <w:b/>
          <w:color w:val="000000"/>
        </w:rPr>
      </w:pPr>
      <w:r w:rsidRPr="007175E2">
        <w:rPr>
          <w:rFonts w:ascii="Cambria" w:eastAsia="Batang" w:hAnsi="Cambria" w:cs="Calibri Light"/>
          <w:b/>
          <w:color w:val="000000"/>
        </w:rPr>
        <w:t>INDIVIDUAL AND STRUCTURAL OUTCOMES OF THE CASE</w:t>
      </w:r>
    </w:p>
    <w:p w14:paraId="0F1E3E7C" w14:textId="77777777" w:rsidR="003E6F57" w:rsidRPr="00505E37" w:rsidRDefault="003E6F57" w:rsidP="00401DCE">
      <w:pPr>
        <w:spacing w:after="0" w:line="240" w:lineRule="auto"/>
        <w:contextualSpacing/>
        <w:jc w:val="both"/>
        <w:rPr>
          <w:rFonts w:ascii="Cambria" w:eastAsia="Batang" w:hAnsi="Cambria" w:cs="Calibri Light"/>
          <w:b/>
          <w:color w:val="000000"/>
          <w:sz w:val="20"/>
          <w:szCs w:val="20"/>
        </w:rPr>
      </w:pPr>
    </w:p>
    <w:p w14:paraId="164FCF46" w14:textId="77777777" w:rsidR="003E6F57" w:rsidRPr="00505E37" w:rsidRDefault="003E6F57" w:rsidP="00637AFB">
      <w:pPr>
        <w:numPr>
          <w:ilvl w:val="0"/>
          <w:numId w:val="38"/>
        </w:numPr>
        <w:spacing w:after="0" w:line="240" w:lineRule="auto"/>
        <w:ind w:left="1418" w:right="4" w:hanging="709"/>
        <w:contextualSpacing/>
        <w:jc w:val="both"/>
        <w:rPr>
          <w:rFonts w:ascii="Cambria" w:hAnsi="Cambria" w:cs="Calibri Light"/>
          <w:b/>
          <w:sz w:val="20"/>
          <w:szCs w:val="20"/>
        </w:rPr>
      </w:pPr>
      <w:r w:rsidRPr="00505E37">
        <w:rPr>
          <w:rFonts w:ascii="Cambria" w:hAnsi="Cambria" w:cs="Calibri Light"/>
          <w:b/>
          <w:sz w:val="20"/>
          <w:szCs w:val="20"/>
        </w:rPr>
        <w:t>Individual outcomes of the case</w:t>
      </w:r>
    </w:p>
    <w:p w14:paraId="0ECF7B10" w14:textId="77777777" w:rsidR="003E6F57" w:rsidRPr="00F5768F" w:rsidRDefault="003E6F57" w:rsidP="003E6F57">
      <w:pPr>
        <w:spacing w:after="0" w:line="240" w:lineRule="auto"/>
        <w:ind w:left="1418" w:right="4" w:hanging="709"/>
        <w:contextualSpacing/>
        <w:jc w:val="both"/>
        <w:rPr>
          <w:rFonts w:ascii="Cambria" w:hAnsi="Cambria" w:cs="Calibri Light"/>
        </w:rPr>
      </w:pPr>
    </w:p>
    <w:p w14:paraId="1C26E211"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 xml:space="preserve">The Paraguayan State recognized its international responsibility for violating the rights to personal integrity, to life, to not be subjected to slavery and servitude; to personal liberty; to a fair trial; to the rights of the child; and to guarantees of judicial protection, as established in articles 4, 5, 6, 7, 8, 19, and 25 of the American Convention, to the detriment of Pedro Antonio Centurión. </w:t>
      </w:r>
    </w:p>
    <w:p w14:paraId="1ABB6246"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On October 29, 2018, the Paraguayan State assigned a lot located in the Central Department to Ms. Semproniana Centurión under the TEKOHA program.</w:t>
      </w:r>
    </w:p>
    <w:p w14:paraId="21B5C9F9"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 xml:space="preserve">On October 19, 2011, a ceremony was held at the headquarters of the Ministry of Foreign Affairs to publicly apologize and acknowledge responsibility. It was broadcast on Paraguay’s </w:t>
      </w:r>
      <w:r w:rsidRPr="00505E37">
        <w:rPr>
          <w:rFonts w:ascii="Cambria" w:eastAsia="Batang" w:hAnsi="Cambria"/>
          <w:i/>
          <w:iCs/>
          <w:color w:val="080808"/>
          <w:sz w:val="20"/>
          <w:szCs w:val="20"/>
        </w:rPr>
        <w:t>Radio Nacional</w:t>
      </w:r>
      <w:r w:rsidRPr="00505E37">
        <w:rPr>
          <w:rFonts w:ascii="Cambria" w:eastAsia="Batang" w:hAnsi="Cambria"/>
          <w:color w:val="080808"/>
          <w:sz w:val="20"/>
          <w:szCs w:val="20"/>
        </w:rPr>
        <w:t xml:space="preserve"> and disseminated in other media outlets, including </w:t>
      </w:r>
      <w:r w:rsidRPr="00505E37">
        <w:rPr>
          <w:rFonts w:ascii="Cambria" w:eastAsia="Batang" w:hAnsi="Cambria"/>
          <w:i/>
          <w:iCs/>
          <w:color w:val="080808"/>
          <w:sz w:val="20"/>
          <w:szCs w:val="20"/>
        </w:rPr>
        <w:t>Diario Última Hora</w:t>
      </w:r>
      <w:r w:rsidRPr="00505E37">
        <w:rPr>
          <w:rFonts w:ascii="Cambria" w:eastAsia="Batang" w:hAnsi="Cambria"/>
          <w:color w:val="080808"/>
          <w:sz w:val="20"/>
          <w:szCs w:val="20"/>
        </w:rPr>
        <w:t>.</w:t>
      </w:r>
    </w:p>
    <w:p w14:paraId="56120992"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On May 25, 2012, a ceremony was held to unveil the plaque at the Vista Alegre unit, and a commemorative monolith was inaugurated.</w:t>
      </w:r>
    </w:p>
    <w:p w14:paraId="0D05F966"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Municipal Order 26 of July 3, 2012, of the Luque Municipal Council ordered north-south Karandayty Street along its entire length, from 12th Company Loma Merlo in the Luque jurisdiction, to be named “Soldado Pedro Antonio Centurión.”</w:t>
      </w:r>
    </w:p>
    <w:p w14:paraId="393D87A3"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The Ministry of Public Health and Social Welfare, through the Family Health Unit—which is under the General Office on Primary Healthcare—provided medical care to the beneficiaries periodically, both at its headquarters and at their homes.</w:t>
      </w:r>
    </w:p>
    <w:p w14:paraId="088939EE"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 xml:space="preserve">On July 23, 2019, the State held a formal ceremony, with the attendance of the President of the Republic and the Minister of Urbanism, Housing, and Habitat to sign the contract adjudicating the property to the mother of the victim. </w:t>
      </w:r>
    </w:p>
    <w:p w14:paraId="13801E67"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On August 5, 2019, the State formally delivered the home to Ms. Semproniana Centurión, as agreed with the petitioners.</w:t>
      </w:r>
    </w:p>
    <w:p w14:paraId="351B1F13" w14:textId="77777777" w:rsidR="00F5768F"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On October 6, 2022, the State confirmed the registration of the land located in Company 8 Tarumandy in the district of Luque, to Ms. Semproniana Centurión, in the public registry of the General Directorate of Public Registries.</w:t>
      </w:r>
    </w:p>
    <w:p w14:paraId="348955C8" w14:textId="41E4B79D" w:rsidR="003E6F57" w:rsidRPr="00505E37" w:rsidRDefault="00F5768F" w:rsidP="00F5768F">
      <w:pPr>
        <w:numPr>
          <w:ilvl w:val="0"/>
          <w:numId w:val="36"/>
        </w:numPr>
        <w:tabs>
          <w:tab w:val="left" w:pos="0"/>
        </w:tabs>
        <w:spacing w:after="0" w:line="240" w:lineRule="auto"/>
        <w:ind w:left="1418" w:right="4" w:hanging="709"/>
        <w:contextualSpacing/>
        <w:jc w:val="both"/>
        <w:rPr>
          <w:rFonts w:ascii="Cambria" w:eastAsia="Batang" w:hAnsi="Cambria"/>
          <w:color w:val="080808"/>
          <w:sz w:val="20"/>
          <w:szCs w:val="20"/>
        </w:rPr>
      </w:pPr>
      <w:r w:rsidRPr="00505E37">
        <w:rPr>
          <w:rFonts w:ascii="Cambria" w:eastAsia="Batang" w:hAnsi="Cambria"/>
          <w:color w:val="080808"/>
          <w:sz w:val="20"/>
          <w:szCs w:val="20"/>
        </w:rPr>
        <w:t>The State registered the property transferred in the name of Mrs. Semproniana Centurión with the General Directorate of Public Records.</w:t>
      </w:r>
    </w:p>
    <w:sectPr w:rsidR="003E6F57" w:rsidRPr="00505E37" w:rsidSect="00626866">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4952" w14:textId="77777777" w:rsidR="00626866" w:rsidRDefault="00626866" w:rsidP="00A343FF">
      <w:pPr>
        <w:spacing w:after="0" w:line="240" w:lineRule="auto"/>
      </w:pPr>
      <w:r>
        <w:separator/>
      </w:r>
    </w:p>
  </w:endnote>
  <w:endnote w:type="continuationSeparator" w:id="0">
    <w:p w14:paraId="3BD86D3A" w14:textId="77777777" w:rsidR="00626866" w:rsidRDefault="00626866"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03" w14:textId="77777777" w:rsidR="00A61B5E" w:rsidRPr="00A61B5E" w:rsidRDefault="00A61B5E">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F74974">
      <w:rPr>
        <w:noProof/>
        <w:color w:val="404040"/>
        <w:sz w:val="16"/>
        <w:szCs w:val="16"/>
      </w:rPr>
      <w:t>2</w:t>
    </w:r>
    <w:r w:rsidRPr="00A61B5E">
      <w:rPr>
        <w:noProof/>
        <w:color w:val="404040"/>
        <w:sz w:val="16"/>
        <w:szCs w:val="16"/>
      </w:rPr>
      <w:fldChar w:fldCharType="end"/>
    </w:r>
  </w:p>
  <w:p w14:paraId="242F45FC" w14:textId="77777777" w:rsidR="00F66FEE" w:rsidRDefault="00F66FEE" w:rsidP="008550EF">
    <w:pPr>
      <w:pStyle w:val="Footer"/>
      <w:spacing w:line="360" w:lineRule="auto"/>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F5ED" w14:textId="77777777" w:rsidR="008F2248" w:rsidRDefault="006E70CE" w:rsidP="008F2248">
    <w:pPr>
      <w:pStyle w:val="Footer"/>
      <w:spacing w:line="360" w:lineRule="auto"/>
    </w:pPr>
    <w:r>
      <w:rPr>
        <w:noProof/>
      </w:rPr>
      <w:pict w14:anchorId="7DFD246B">
        <v:rect id="_x0000_i1027" alt="" style="width:441.9pt;height:.05pt;mso-width-percent:0;mso-height-percent:0;mso-width-percent:0;mso-height-percent:0" o:hralign="center" o:hrstd="t" o:hr="t" fillcolor="#a0a0a0" stroked="f"/>
      </w:pict>
    </w:r>
  </w:p>
  <w:p w14:paraId="6EC67A5C" w14:textId="77777777" w:rsidR="008F2248" w:rsidRDefault="00AB253B" w:rsidP="006E2BD8">
    <w:pPr>
      <w:pStyle w:val="Footer"/>
      <w:jc w:val="center"/>
    </w:pPr>
    <w:r>
      <w:rPr>
        <w:noProof/>
      </w:rPr>
      <w:drawing>
        <wp:inline distT="0" distB="0" distL="0" distR="0" wp14:anchorId="6DBA9108" wp14:editId="295ADEE9">
          <wp:extent cx="5235575" cy="32448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5575" cy="3244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B38F" w14:textId="77777777" w:rsidR="00626866" w:rsidRDefault="00626866" w:rsidP="00A343FF">
      <w:pPr>
        <w:spacing w:after="0" w:line="240" w:lineRule="auto"/>
      </w:pPr>
      <w:r>
        <w:separator/>
      </w:r>
    </w:p>
  </w:footnote>
  <w:footnote w:type="continuationSeparator" w:id="0">
    <w:p w14:paraId="44A512A8" w14:textId="77777777" w:rsidR="00626866" w:rsidRDefault="00626866" w:rsidP="00A343FF">
      <w:pPr>
        <w:spacing w:after="0" w:line="240" w:lineRule="auto"/>
      </w:pPr>
      <w:r>
        <w:continuationSeparator/>
      </w:r>
    </w:p>
  </w:footnote>
  <w:footnote w:id="1">
    <w:p w14:paraId="04554B49" w14:textId="77777777" w:rsidR="00F5768F" w:rsidRPr="00915732" w:rsidRDefault="00F5768F" w:rsidP="00F5768F">
      <w:pPr>
        <w:pStyle w:val="FootnoteText"/>
        <w:ind w:firstLine="709"/>
        <w:jc w:val="both"/>
        <w:rPr>
          <w:rFonts w:ascii="Cambria" w:hAnsi="Cambria"/>
          <w:sz w:val="16"/>
          <w:szCs w:val="16"/>
        </w:rPr>
      </w:pPr>
      <w:r w:rsidRPr="00505E37">
        <w:rPr>
          <w:rStyle w:val="FootnoteReference"/>
          <w:rFonts w:ascii="Cambria" w:hAnsi="Cambria"/>
          <w:sz w:val="16"/>
          <w:szCs w:val="16"/>
        </w:rPr>
        <w:footnoteRef/>
      </w:r>
      <w:r w:rsidRPr="00505E37">
        <w:rPr>
          <w:rFonts w:ascii="Cambria" w:hAnsi="Cambria"/>
          <w:sz w:val="16"/>
          <w:szCs w:val="16"/>
        </w:rPr>
        <w:t xml:space="preserve"> IACHR Report No. 130/18, Case 12.699. Friendly Settlement. Pedro Antonio Centurión, Paraguay. November 20, 2018. Available at http://www.oas.org/en/iachr/decisions/2018/PYSA12699EN.pdf</w:t>
      </w:r>
      <w:r w:rsidRPr="00915732">
        <w:rPr>
          <w:rFonts w:ascii="Cambria" w:hAnsi="Cambria"/>
          <w:sz w:val="16"/>
          <w:szCs w:val="16"/>
        </w:rPr>
        <w:t xml:space="preserve"> </w:t>
      </w:r>
    </w:p>
  </w:footnote>
  <w:footnote w:id="2">
    <w:p w14:paraId="1F1F92CA" w14:textId="549B856E" w:rsidR="00E0051B" w:rsidRPr="00505E37" w:rsidRDefault="00E0051B" w:rsidP="00E0051B">
      <w:pPr>
        <w:pStyle w:val="FootnoteText"/>
        <w:tabs>
          <w:tab w:val="left" w:pos="180"/>
          <w:tab w:val="left" w:pos="270"/>
          <w:tab w:val="left" w:pos="360"/>
        </w:tabs>
        <w:ind w:firstLine="709"/>
        <w:jc w:val="both"/>
        <w:rPr>
          <w:rFonts w:ascii="Cambria" w:hAnsi="Cambria"/>
          <w:color w:val="000000"/>
          <w:sz w:val="16"/>
          <w:szCs w:val="16"/>
        </w:rPr>
      </w:pPr>
      <w:r w:rsidRPr="00505E37">
        <w:rPr>
          <w:rStyle w:val="FootnoteReference"/>
          <w:rFonts w:ascii="Cambria" w:hAnsi="Cambria"/>
          <w:color w:val="000000"/>
          <w:sz w:val="16"/>
          <w:szCs w:val="16"/>
        </w:rPr>
        <w:footnoteRef/>
      </w:r>
      <w:r w:rsidRPr="00505E37">
        <w:rPr>
          <w:rFonts w:ascii="Cambria" w:hAnsi="Cambria"/>
          <w:color w:val="000000"/>
          <w:sz w:val="16"/>
          <w:szCs w:val="16"/>
        </w:rPr>
        <w:t xml:space="preserve"> </w:t>
      </w:r>
      <w:r w:rsidR="00F5768F" w:rsidRPr="00505E37">
        <w:rPr>
          <w:rFonts w:ascii="Cambria" w:hAnsi="Cambria"/>
          <w:color w:val="000000"/>
          <w:sz w:val="16"/>
          <w:szCs w:val="16"/>
        </w:rPr>
        <w:t xml:space="preserve">See IACHR, 2023 Annual Report, Chapter II, Section </w:t>
      </w:r>
      <w:r w:rsidR="00915732" w:rsidRPr="00505E37">
        <w:rPr>
          <w:rFonts w:ascii="Cambria" w:hAnsi="Cambria"/>
          <w:color w:val="000000"/>
          <w:sz w:val="16"/>
          <w:szCs w:val="16"/>
        </w:rPr>
        <w:t>C</w:t>
      </w:r>
      <w:r w:rsidR="00F5768F" w:rsidRPr="00505E37">
        <w:rPr>
          <w:rFonts w:ascii="Cambria" w:hAnsi="Cambria"/>
          <w:color w:val="000000"/>
          <w:sz w:val="16"/>
          <w:szCs w:val="16"/>
        </w:rPr>
        <w:t xml:space="preserve">. Advances and challenges on negotiation and implementation of friendly settlements, Available at: </w:t>
      </w:r>
      <w:hyperlink r:id="rId1" w:history="1">
        <w:r w:rsidR="00915732" w:rsidRPr="00915732">
          <w:rPr>
            <w:rStyle w:val="Hyperlink"/>
            <w:rFonts w:ascii="Cambria" w:hAnsi="Cambria"/>
            <w:sz w:val="16"/>
            <w:szCs w:val="16"/>
          </w:rPr>
          <w:t>https://www.oas.org/en/iachr/docs/annual/2023/chapters/IA2023_Cap_2_ENG.PDF</w:t>
        </w:r>
      </w:hyperlink>
    </w:p>
  </w:footnote>
  <w:footnote w:id="3">
    <w:p w14:paraId="4C2F9FA1" w14:textId="77777777" w:rsidR="00F5768F" w:rsidRPr="00505E37" w:rsidRDefault="00F5768F" w:rsidP="00F5768F">
      <w:pPr>
        <w:pStyle w:val="FootnoteText"/>
        <w:ind w:firstLine="709"/>
        <w:jc w:val="both"/>
        <w:rPr>
          <w:rFonts w:ascii="Cambria" w:hAnsi="Cambria"/>
          <w:sz w:val="16"/>
          <w:szCs w:val="16"/>
        </w:rPr>
      </w:pPr>
      <w:r w:rsidRPr="00505E37">
        <w:rPr>
          <w:rStyle w:val="FootnoteReference"/>
          <w:rFonts w:ascii="Cambria" w:hAnsi="Cambria"/>
          <w:sz w:val="16"/>
          <w:szCs w:val="16"/>
        </w:rPr>
        <w:footnoteRef/>
      </w:r>
      <w:r w:rsidRPr="00505E37">
        <w:rPr>
          <w:rFonts w:ascii="Cambria" w:hAnsi="Cambria"/>
          <w:sz w:val="16"/>
          <w:szCs w:val="16"/>
        </w:rPr>
        <w:t xml:space="preserve"> IACHR Report No. 130/18, Case 12.699. Friendly Settlement. Pedro Antonio Centurión, Paraguay. November 20, 2018. Available at: http://www.oas.org/en/iachr/decisions/2018/PYSA12699EN.pdf </w:t>
      </w:r>
    </w:p>
  </w:footnote>
  <w:footnote w:id="4">
    <w:p w14:paraId="3E4ED57E" w14:textId="77777777" w:rsidR="00F5768F" w:rsidRPr="00F5768F" w:rsidRDefault="00F5768F" w:rsidP="00F5768F">
      <w:pPr>
        <w:pStyle w:val="FootnoteText"/>
        <w:ind w:firstLine="709"/>
        <w:jc w:val="both"/>
        <w:rPr>
          <w:rFonts w:ascii="Cambria" w:hAnsi="Cambria"/>
          <w:sz w:val="16"/>
          <w:szCs w:val="16"/>
          <w:highlight w:val="yellow"/>
        </w:rPr>
      </w:pPr>
      <w:r w:rsidRPr="00505E37">
        <w:rPr>
          <w:rStyle w:val="FootnoteReference"/>
          <w:rFonts w:ascii="Cambria" w:hAnsi="Cambria"/>
          <w:sz w:val="16"/>
          <w:szCs w:val="16"/>
        </w:rPr>
        <w:footnoteRef/>
      </w:r>
      <w:r w:rsidRPr="00505E37">
        <w:rPr>
          <w:rFonts w:ascii="Cambria" w:hAnsi="Cambria"/>
          <w:sz w:val="16"/>
          <w:szCs w:val="16"/>
        </w:rPr>
        <w:t xml:space="preserve"> IACHR Report No. 130/18, Case 12.699. Friendly Settlement. Pedro Antonio Centurión, Paraguay. November 20, 2018. Available at http://www.oas.org/en/iachr/decisions/2018/PYSA12699EN.pdf </w:t>
      </w:r>
    </w:p>
  </w:footnote>
  <w:footnote w:id="5">
    <w:p w14:paraId="47085E64" w14:textId="77777777" w:rsidR="00F5768F" w:rsidRPr="00FB39CB" w:rsidRDefault="00F5768F" w:rsidP="00F5768F">
      <w:pPr>
        <w:pStyle w:val="FootnoteText"/>
        <w:ind w:firstLine="709"/>
        <w:jc w:val="both"/>
        <w:rPr>
          <w:szCs w:val="16"/>
        </w:rPr>
      </w:pPr>
      <w:r w:rsidRPr="00505E37">
        <w:rPr>
          <w:rStyle w:val="FootnoteReference"/>
          <w:rFonts w:ascii="Cambria" w:hAnsi="Cambria"/>
          <w:sz w:val="16"/>
          <w:szCs w:val="16"/>
        </w:rPr>
        <w:footnoteRef/>
      </w:r>
      <w:r w:rsidRPr="00505E37">
        <w:rPr>
          <w:rFonts w:ascii="Cambria" w:hAnsi="Cambria"/>
          <w:sz w:val="16"/>
          <w:szCs w:val="16"/>
        </w:rPr>
        <w:t xml:space="preserve"> IACHR Report No. 130/18, Case 12.699. Friendly Settlement. </w:t>
      </w:r>
      <w:r w:rsidRPr="00505E37">
        <w:rPr>
          <w:rFonts w:ascii="Cambria" w:hAnsi="Cambria"/>
          <w:sz w:val="16"/>
          <w:szCs w:val="16"/>
          <w:lang w:val="es-CO"/>
        </w:rPr>
        <w:t xml:space="preserve">Pedro Antonio Centurión, Paraguay, November 20, 2018. </w:t>
      </w:r>
      <w:r w:rsidRPr="00505E37">
        <w:rPr>
          <w:rFonts w:ascii="Cambria" w:hAnsi="Cambria"/>
          <w:sz w:val="16"/>
          <w:szCs w:val="16"/>
        </w:rPr>
        <w:t>Available at http://www.oas.org/en/iachr/decisions/2018/PYSA12699EN.pdf</w:t>
      </w:r>
      <w:r w:rsidRPr="00FB39CB">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101B" w14:textId="77777777" w:rsidR="00A343FF" w:rsidRDefault="00AB253B" w:rsidP="00DC7C8F">
    <w:pPr>
      <w:pStyle w:val="Header"/>
      <w:jc w:val="center"/>
    </w:pPr>
    <w:r>
      <w:rPr>
        <w:noProof/>
      </w:rPr>
      <w:drawing>
        <wp:inline distT="0" distB="0" distL="0" distR="0" wp14:anchorId="12DE2D16" wp14:editId="70746368">
          <wp:extent cx="2271395" cy="1181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118110"/>
                  </a:xfrm>
                  <a:prstGeom prst="rect">
                    <a:avLst/>
                  </a:prstGeom>
                  <a:noFill/>
                  <a:ln>
                    <a:noFill/>
                  </a:ln>
                </pic:spPr>
              </pic:pic>
            </a:graphicData>
          </a:graphic>
        </wp:inline>
      </w:drawing>
    </w:r>
  </w:p>
  <w:p w14:paraId="54B9C190" w14:textId="77777777" w:rsidR="00A343FF" w:rsidRDefault="006E70CE">
    <w:pPr>
      <w:pStyle w:val="Header"/>
    </w:pPr>
    <w:r>
      <w:rPr>
        <w:noProof/>
      </w:rPr>
      <w:pict w14:anchorId="3C167262">
        <v:rect id="_x0000_i1025" alt="" style="width:441.9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FB95" w14:textId="77777777" w:rsidR="00A61B5E" w:rsidRDefault="00AB253B" w:rsidP="00A61B5E">
    <w:pPr>
      <w:pStyle w:val="Header"/>
    </w:pPr>
    <w:r>
      <w:rPr>
        <w:noProof/>
      </w:rPr>
      <w:drawing>
        <wp:anchor distT="0" distB="0" distL="114300" distR="114300" simplePos="0" relativeHeight="251656192" behindDoc="1" locked="0" layoutInCell="1" allowOverlap="1" wp14:anchorId="59FE738C" wp14:editId="11A3A48B">
          <wp:simplePos x="0" y="0"/>
          <wp:positionH relativeFrom="column">
            <wp:posOffset>0</wp:posOffset>
          </wp:positionH>
          <wp:positionV relativeFrom="paragraph">
            <wp:posOffset>-28575</wp:posOffset>
          </wp:positionV>
          <wp:extent cx="2567940" cy="495300"/>
          <wp:effectExtent l="0" t="0" r="0" b="0"/>
          <wp:wrapThrough wrapText="bothSides">
            <wp:wrapPolygon edited="0">
              <wp:start x="0" y="0"/>
              <wp:lineTo x="0" y="21046"/>
              <wp:lineTo x="21472" y="21046"/>
              <wp:lineTo x="21472" y="0"/>
              <wp:lineTo x="0" y="0"/>
            </wp:wrapPolygon>
          </wp:wrapThrough>
          <wp:docPr id="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DEC2470" wp14:editId="773EC283">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711" y="0"/>
              <wp:lineTo x="0" y="3298"/>
              <wp:lineTo x="0" y="14290"/>
              <wp:lineTo x="428" y="18137"/>
              <wp:lineTo x="1568" y="20885"/>
              <wp:lineTo x="1711" y="20885"/>
              <wp:lineTo x="3850" y="20885"/>
              <wp:lineTo x="3992" y="20885"/>
              <wp:lineTo x="5133" y="17588"/>
              <wp:lineTo x="21529" y="17588"/>
              <wp:lineTo x="21529" y="11542"/>
              <wp:lineTo x="20103" y="8794"/>
              <wp:lineTo x="20388" y="5496"/>
              <wp:lineTo x="18962" y="4397"/>
              <wp:lineTo x="3707" y="0"/>
              <wp:lineTo x="1711" y="0"/>
            </wp:wrapPolygon>
          </wp:wrapThrough>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14:paraId="16B56DFB" w14:textId="77777777" w:rsidR="00F53B51" w:rsidRDefault="00F53B51" w:rsidP="00A61B5E">
    <w:pPr>
      <w:pStyle w:val="Header"/>
    </w:pPr>
  </w:p>
  <w:p w14:paraId="4948EA69" w14:textId="77777777" w:rsidR="00F53B51" w:rsidRDefault="00F53B51" w:rsidP="00A61B5E">
    <w:pPr>
      <w:pStyle w:val="Header"/>
    </w:pPr>
  </w:p>
  <w:p w14:paraId="0D5588C7" w14:textId="77777777" w:rsidR="00A61B5E" w:rsidRDefault="006E70CE" w:rsidP="00A61B5E">
    <w:pPr>
      <w:pStyle w:val="Header"/>
    </w:pPr>
    <w:r>
      <w:rPr>
        <w:noProof/>
      </w:rPr>
      <w:pict w14:anchorId="3DB91606">
        <v:rect id="_x0000_i1026"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BDB"/>
    <w:multiLevelType w:val="hybridMultilevel"/>
    <w:tmpl w:val="61D47D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30BBE"/>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46898"/>
    <w:multiLevelType w:val="hybridMultilevel"/>
    <w:tmpl w:val="3EF811B0"/>
    <w:lvl w:ilvl="0" w:tplc="0444DD12">
      <w:start w:val="1"/>
      <w:numFmt w:val="decimal"/>
      <w:lvlText w:val="%1."/>
      <w:lvlJc w:val="left"/>
      <w:pPr>
        <w:ind w:left="720" w:hanging="360"/>
      </w:pPr>
      <w:rPr>
        <w:rFonts w:hint="default"/>
        <w:b w:val="0"/>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443C"/>
    <w:multiLevelType w:val="multilevel"/>
    <w:tmpl w:val="D5ACA5C4"/>
    <w:lvl w:ilvl="0">
      <w:start w:val="1"/>
      <w:numFmt w:val="decimal"/>
      <w:lvlText w:val="%1."/>
      <w:lvlJc w:val="left"/>
      <w:pPr>
        <w:ind w:left="1080" w:hanging="360"/>
      </w:pPr>
      <w:rPr>
        <w:rFonts w:eastAsia="Arial" w:cs="Arial" w:hint="default"/>
        <w:b/>
        <w:color w:val="auto"/>
        <w:w w:val="105"/>
      </w:rPr>
    </w:lvl>
    <w:lvl w:ilvl="1">
      <w:start w:val="1"/>
      <w:numFmt w:val="decimal"/>
      <w:isLgl/>
      <w:lvlText w:val="%1.%2"/>
      <w:lvlJc w:val="left"/>
      <w:pPr>
        <w:ind w:left="2437" w:hanging="1245"/>
      </w:pPr>
      <w:rPr>
        <w:rFonts w:ascii="Cambria" w:hAnsi="Cambria" w:hint="default"/>
        <w:color w:val="FF0000"/>
        <w:sz w:val="20"/>
      </w:rPr>
    </w:lvl>
    <w:lvl w:ilvl="2">
      <w:start w:val="1"/>
      <w:numFmt w:val="decimal"/>
      <w:isLgl/>
      <w:lvlText w:val="%1.%2.%3"/>
      <w:lvlJc w:val="left"/>
      <w:pPr>
        <w:ind w:left="2909" w:hanging="1245"/>
      </w:pPr>
      <w:rPr>
        <w:rFonts w:ascii="Cambria" w:hAnsi="Cambria" w:hint="default"/>
        <w:color w:val="auto"/>
        <w:sz w:val="20"/>
      </w:rPr>
    </w:lvl>
    <w:lvl w:ilvl="3">
      <w:start w:val="1"/>
      <w:numFmt w:val="decimal"/>
      <w:isLgl/>
      <w:lvlText w:val="%1.%2.%3.%4"/>
      <w:lvlJc w:val="left"/>
      <w:pPr>
        <w:ind w:left="3381" w:hanging="1245"/>
      </w:pPr>
      <w:rPr>
        <w:rFonts w:ascii="Cambria" w:hAnsi="Cambria" w:hint="default"/>
        <w:color w:val="FF0000"/>
        <w:sz w:val="20"/>
      </w:rPr>
    </w:lvl>
    <w:lvl w:ilvl="4">
      <w:start w:val="1"/>
      <w:numFmt w:val="decimal"/>
      <w:isLgl/>
      <w:lvlText w:val="%1.%2.%3.%4.%5"/>
      <w:lvlJc w:val="left"/>
      <w:pPr>
        <w:ind w:left="3853" w:hanging="1245"/>
      </w:pPr>
      <w:rPr>
        <w:rFonts w:ascii="Cambria" w:hAnsi="Cambria" w:hint="default"/>
        <w:color w:val="FF0000"/>
        <w:sz w:val="20"/>
      </w:rPr>
    </w:lvl>
    <w:lvl w:ilvl="5">
      <w:start w:val="1"/>
      <w:numFmt w:val="decimal"/>
      <w:isLgl/>
      <w:lvlText w:val="%1.%2.%3.%4.%5.%6"/>
      <w:lvlJc w:val="left"/>
      <w:pPr>
        <w:ind w:left="4520" w:hanging="1440"/>
      </w:pPr>
      <w:rPr>
        <w:rFonts w:ascii="Cambria" w:hAnsi="Cambria" w:hint="default"/>
        <w:color w:val="FF0000"/>
        <w:sz w:val="20"/>
      </w:rPr>
    </w:lvl>
    <w:lvl w:ilvl="6">
      <w:start w:val="1"/>
      <w:numFmt w:val="decimal"/>
      <w:isLgl/>
      <w:lvlText w:val="%1.%2.%3.%4.%5.%6.%7"/>
      <w:lvlJc w:val="left"/>
      <w:pPr>
        <w:ind w:left="4992" w:hanging="1440"/>
      </w:pPr>
      <w:rPr>
        <w:rFonts w:ascii="Cambria" w:hAnsi="Cambria" w:hint="default"/>
        <w:color w:val="FF0000"/>
        <w:sz w:val="20"/>
      </w:rPr>
    </w:lvl>
    <w:lvl w:ilvl="7">
      <w:start w:val="1"/>
      <w:numFmt w:val="decimal"/>
      <w:isLgl/>
      <w:lvlText w:val="%1.%2.%3.%4.%5.%6.%7.%8"/>
      <w:lvlJc w:val="left"/>
      <w:pPr>
        <w:ind w:left="5824" w:hanging="1800"/>
      </w:pPr>
      <w:rPr>
        <w:rFonts w:ascii="Cambria" w:hAnsi="Cambria" w:hint="default"/>
        <w:color w:val="FF0000"/>
        <w:sz w:val="20"/>
      </w:rPr>
    </w:lvl>
    <w:lvl w:ilvl="8">
      <w:start w:val="1"/>
      <w:numFmt w:val="decimal"/>
      <w:isLgl/>
      <w:lvlText w:val="%1.%2.%3.%4.%5.%6.%7.%8.%9"/>
      <w:lvlJc w:val="left"/>
      <w:pPr>
        <w:ind w:left="6296" w:hanging="1800"/>
      </w:pPr>
      <w:rPr>
        <w:rFonts w:ascii="Cambria" w:hAnsi="Cambria" w:hint="default"/>
        <w:color w:val="FF0000"/>
        <w:sz w:val="20"/>
      </w:r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236A5"/>
    <w:multiLevelType w:val="hybridMultilevel"/>
    <w:tmpl w:val="2F82DD5C"/>
    <w:lvl w:ilvl="0" w:tplc="4C7ECB12">
      <w:start w:val="1"/>
      <w:numFmt w:val="decimal"/>
      <w:lvlText w:val="%1)"/>
      <w:lvlJc w:val="left"/>
      <w:pPr>
        <w:ind w:left="720" w:hanging="360"/>
      </w:pPr>
      <w:rPr>
        <w:rFonts w:eastAsia="MS Mincho"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C14D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312A9F"/>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37127D"/>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B60A1"/>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33480"/>
    <w:multiLevelType w:val="hybridMultilevel"/>
    <w:tmpl w:val="52D07F1C"/>
    <w:lvl w:ilvl="0" w:tplc="FFFFFFFF">
      <w:start w:val="1"/>
      <w:numFmt w:val="upperRoman"/>
      <w:lvlText w:val="%1."/>
      <w:lvlJc w:val="left"/>
      <w:pPr>
        <w:ind w:left="189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352DCD4">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CA2B85"/>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2833C9"/>
    <w:multiLevelType w:val="hybridMultilevel"/>
    <w:tmpl w:val="1E680606"/>
    <w:lvl w:ilvl="0" w:tplc="8BD876CA">
      <w:start w:val="1"/>
      <w:numFmt w:val="bullet"/>
      <w:lvlText w:val=""/>
      <w:lvlJc w:val="left"/>
      <w:pPr>
        <w:ind w:left="1440" w:hanging="360"/>
      </w:pPr>
      <w:rPr>
        <w:rFonts w:ascii="Symbol" w:hAnsi="Symbol" w:hint="default"/>
        <w:lang w:val="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C005EC"/>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EE2BBA"/>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276FA0"/>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CD7804"/>
    <w:multiLevelType w:val="hybridMultilevel"/>
    <w:tmpl w:val="084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778C7"/>
    <w:multiLevelType w:val="hybridMultilevel"/>
    <w:tmpl w:val="EC809C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4D22AE"/>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1F5CCD"/>
    <w:multiLevelType w:val="hybridMultilevel"/>
    <w:tmpl w:val="842AE3C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491C52"/>
    <w:multiLevelType w:val="hybridMultilevel"/>
    <w:tmpl w:val="7CA08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903577"/>
    <w:multiLevelType w:val="hybridMultilevel"/>
    <w:tmpl w:val="8ED654D6"/>
    <w:lvl w:ilvl="0" w:tplc="02E0BA42">
      <w:start w:val="1"/>
      <w:numFmt w:val="bullet"/>
      <w:lvlText w:val=""/>
      <w:lvlJc w:val="left"/>
      <w:pPr>
        <w:ind w:left="1440" w:hanging="360"/>
      </w:pPr>
      <w:rPr>
        <w:rFonts w:ascii="Symbol" w:hAnsi="Symbol" w:hint="default"/>
        <w:lang w:val="es-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9302B1"/>
    <w:multiLevelType w:val="hybridMultilevel"/>
    <w:tmpl w:val="CDE0C2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422B71"/>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6253A63"/>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F62E1"/>
    <w:multiLevelType w:val="multilevel"/>
    <w:tmpl w:val="52D07F1C"/>
    <w:styleLink w:val="CurrentList1"/>
    <w:lvl w:ilvl="0">
      <w:start w:val="1"/>
      <w:numFmt w:val="upperRoman"/>
      <w:lvlText w:val="%1."/>
      <w:lvlJc w:val="left"/>
      <w:pPr>
        <w:ind w:left="189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951C10"/>
    <w:multiLevelType w:val="hybridMultilevel"/>
    <w:tmpl w:val="2F12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112ED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55252B23"/>
    <w:multiLevelType w:val="hybridMultilevel"/>
    <w:tmpl w:val="5262080E"/>
    <w:lvl w:ilvl="0" w:tplc="42D8C1E4">
      <w:start w:val="1"/>
      <w:numFmt w:val="decimal"/>
      <w:lvlText w:val="%1."/>
      <w:lvlJc w:val="left"/>
      <w:pPr>
        <w:ind w:left="1080" w:hanging="360"/>
      </w:pPr>
      <w:rPr>
        <w:rFonts w:ascii="Cambria" w:hAnsi="Cambria" w:hint="default"/>
        <w:b w:val="0"/>
        <w:bCs/>
        <w:sz w:val="22"/>
        <w:szCs w:val="22"/>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4B9C0506">
      <w:start w:val="1"/>
      <w:numFmt w:val="decimal"/>
      <w:lvlText w:val="%4."/>
      <w:lvlJc w:val="left"/>
      <w:pPr>
        <w:ind w:left="3240" w:hanging="360"/>
      </w:pPr>
      <w:rPr>
        <w:b w:val="0"/>
        <w:bCs/>
      </w:r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64F4750E">
      <w:start w:val="1"/>
      <w:numFmt w:val="decimal"/>
      <w:lvlText w:val="%7."/>
      <w:lvlJc w:val="left"/>
      <w:pPr>
        <w:ind w:left="5400" w:hanging="360"/>
      </w:pPr>
      <w:rPr>
        <w:b w:val="0"/>
        <w:bCs/>
      </w:r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34" w15:restartNumberingAfterBreak="0">
    <w:nsid w:val="5C1A141F"/>
    <w:multiLevelType w:val="hybridMultilevel"/>
    <w:tmpl w:val="BBF06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5433B"/>
    <w:multiLevelType w:val="hybridMultilevel"/>
    <w:tmpl w:val="BBF42C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437226A"/>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374125"/>
    <w:multiLevelType w:val="hybridMultilevel"/>
    <w:tmpl w:val="BD1ED69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77037557"/>
    <w:multiLevelType w:val="hybridMultilevel"/>
    <w:tmpl w:val="99D4DA4E"/>
    <w:lvl w:ilvl="0" w:tplc="0409000F">
      <w:start w:val="1"/>
      <w:numFmt w:val="decimal"/>
      <w:lvlText w:val="%1."/>
      <w:lvlJc w:val="left"/>
      <w:pPr>
        <w:ind w:left="720" w:hanging="360"/>
      </w:pPr>
      <w:rPr>
        <w:rFonts w:hint="default"/>
      </w:rPr>
    </w:lvl>
    <w:lvl w:ilvl="1" w:tplc="8EEEC4DE">
      <w:numFmt w:val="bullet"/>
      <w:lvlText w:val="-"/>
      <w:lvlJc w:val="left"/>
      <w:pPr>
        <w:ind w:left="1440" w:hanging="360"/>
      </w:pPr>
      <w:rPr>
        <w:rFonts w:ascii="Cambria" w:eastAsiaTheme="minorHAnsi" w:hAnsi="Cambria"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7634B"/>
    <w:multiLevelType w:val="hybridMultilevel"/>
    <w:tmpl w:val="BBF0671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413E71"/>
    <w:multiLevelType w:val="hybridMultilevel"/>
    <w:tmpl w:val="639CBA1A"/>
    <w:lvl w:ilvl="0" w:tplc="17E875D0">
      <w:start w:val="2"/>
      <w:numFmt w:val="decimal"/>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BE974E9"/>
    <w:multiLevelType w:val="hybridMultilevel"/>
    <w:tmpl w:val="D33EA58C"/>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D5B68B4"/>
    <w:multiLevelType w:val="hybridMultilevel"/>
    <w:tmpl w:val="660A1088"/>
    <w:lvl w:ilvl="0" w:tplc="13EC8CA0">
      <w:start w:val="1"/>
      <w:numFmt w:val="lowerLetter"/>
      <w:lvlText w:val="%1)"/>
      <w:lvlJc w:val="left"/>
      <w:pPr>
        <w:ind w:left="720" w:hanging="360"/>
      </w:pPr>
      <w:rPr>
        <w:rFonts w:eastAsia="Batang" w:cs="Calibri Ligh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C35B0D"/>
    <w:multiLevelType w:val="hybridMultilevel"/>
    <w:tmpl w:val="BD1ED690"/>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533809320">
    <w:abstractNumId w:val="13"/>
  </w:num>
  <w:num w:numId="2" w16cid:durableId="453600156">
    <w:abstractNumId w:val="34"/>
  </w:num>
  <w:num w:numId="3" w16cid:durableId="897327684">
    <w:abstractNumId w:val="20"/>
  </w:num>
  <w:num w:numId="4" w16cid:durableId="1141650489">
    <w:abstractNumId w:val="33"/>
  </w:num>
  <w:num w:numId="5" w16cid:durableId="746342540">
    <w:abstractNumId w:val="15"/>
  </w:num>
  <w:num w:numId="6" w16cid:durableId="1621692518">
    <w:abstractNumId w:val="8"/>
  </w:num>
  <w:num w:numId="7" w16cid:durableId="971790784">
    <w:abstractNumId w:val="1"/>
  </w:num>
  <w:num w:numId="8" w16cid:durableId="1387029646">
    <w:abstractNumId w:val="41"/>
  </w:num>
  <w:num w:numId="9" w16cid:durableId="1086881292">
    <w:abstractNumId w:val="9"/>
  </w:num>
  <w:num w:numId="10" w16cid:durableId="1292322756">
    <w:abstractNumId w:val="14"/>
  </w:num>
  <w:num w:numId="11" w16cid:durableId="1000500350">
    <w:abstractNumId w:val="4"/>
  </w:num>
  <w:num w:numId="12" w16cid:durableId="1706103099">
    <w:abstractNumId w:val="40"/>
  </w:num>
  <w:num w:numId="13" w16cid:durableId="1756710271">
    <w:abstractNumId w:val="23"/>
  </w:num>
  <w:num w:numId="14" w16cid:durableId="1099252676">
    <w:abstractNumId w:val="44"/>
  </w:num>
  <w:num w:numId="15" w16cid:durableId="1030109151">
    <w:abstractNumId w:val="18"/>
  </w:num>
  <w:num w:numId="16" w16cid:durableId="1722748191">
    <w:abstractNumId w:val="17"/>
  </w:num>
  <w:num w:numId="17" w16cid:durableId="351491452">
    <w:abstractNumId w:val="32"/>
  </w:num>
  <w:num w:numId="18" w16cid:durableId="1027633537">
    <w:abstractNumId w:val="11"/>
  </w:num>
  <w:num w:numId="19" w16cid:durableId="457845413">
    <w:abstractNumId w:val="31"/>
  </w:num>
  <w:num w:numId="20" w16cid:durableId="121157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8907281">
    <w:abstractNumId w:val="22"/>
  </w:num>
  <w:num w:numId="22" w16cid:durableId="2003926928">
    <w:abstractNumId w:val="12"/>
  </w:num>
  <w:num w:numId="23" w16cid:durableId="1497725357">
    <w:abstractNumId w:val="26"/>
  </w:num>
  <w:num w:numId="24" w16cid:durableId="307248652">
    <w:abstractNumId w:val="28"/>
  </w:num>
  <w:num w:numId="25" w16cid:durableId="1985550389">
    <w:abstractNumId w:val="7"/>
  </w:num>
  <w:num w:numId="26" w16cid:durableId="1478456909">
    <w:abstractNumId w:val="10"/>
  </w:num>
  <w:num w:numId="27" w16cid:durableId="1176925587">
    <w:abstractNumId w:val="5"/>
  </w:num>
  <w:num w:numId="28" w16cid:durableId="1876766616">
    <w:abstractNumId w:val="42"/>
  </w:num>
  <w:num w:numId="29" w16cid:durableId="2142572164">
    <w:abstractNumId w:val="38"/>
  </w:num>
  <w:num w:numId="30" w16cid:durableId="571933528">
    <w:abstractNumId w:val="36"/>
  </w:num>
  <w:num w:numId="31" w16cid:durableId="1861430946">
    <w:abstractNumId w:val="16"/>
  </w:num>
  <w:num w:numId="32" w16cid:durableId="803893092">
    <w:abstractNumId w:val="19"/>
  </w:num>
  <w:num w:numId="33" w16cid:durableId="1739936026">
    <w:abstractNumId w:val="6"/>
  </w:num>
  <w:num w:numId="34" w16cid:durableId="1458915668">
    <w:abstractNumId w:val="35"/>
  </w:num>
  <w:num w:numId="35" w16cid:durableId="1599485303">
    <w:abstractNumId w:val="45"/>
  </w:num>
  <w:num w:numId="36" w16cid:durableId="1664964272">
    <w:abstractNumId w:val="43"/>
  </w:num>
  <w:num w:numId="37" w16cid:durableId="2074966919">
    <w:abstractNumId w:val="37"/>
  </w:num>
  <w:num w:numId="38" w16cid:durableId="20934263">
    <w:abstractNumId w:val="27"/>
  </w:num>
  <w:num w:numId="39" w16cid:durableId="195656616">
    <w:abstractNumId w:val="29"/>
  </w:num>
  <w:num w:numId="40" w16cid:durableId="859011189">
    <w:abstractNumId w:val="39"/>
  </w:num>
  <w:num w:numId="41" w16cid:durableId="1023283258">
    <w:abstractNumId w:val="24"/>
  </w:num>
  <w:num w:numId="42" w16cid:durableId="990402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8791555">
    <w:abstractNumId w:val="25"/>
  </w:num>
  <w:num w:numId="44" w16cid:durableId="1614701818">
    <w:abstractNumId w:val="2"/>
  </w:num>
  <w:num w:numId="45" w16cid:durableId="1142043388">
    <w:abstractNumId w:val="30"/>
  </w:num>
  <w:num w:numId="46" w16cid:durableId="1256090543">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6"/>
    <w:rsid w:val="000161DA"/>
    <w:rsid w:val="000244BA"/>
    <w:rsid w:val="000326BD"/>
    <w:rsid w:val="00047B56"/>
    <w:rsid w:val="00054EA0"/>
    <w:rsid w:val="00062031"/>
    <w:rsid w:val="0006625E"/>
    <w:rsid w:val="000667A7"/>
    <w:rsid w:val="00074D00"/>
    <w:rsid w:val="00096079"/>
    <w:rsid w:val="000B3203"/>
    <w:rsid w:val="000B3318"/>
    <w:rsid w:val="000D32B6"/>
    <w:rsid w:val="000D6F2C"/>
    <w:rsid w:val="001011E0"/>
    <w:rsid w:val="00101E3E"/>
    <w:rsid w:val="00112395"/>
    <w:rsid w:val="0012326D"/>
    <w:rsid w:val="0012586C"/>
    <w:rsid w:val="00127F17"/>
    <w:rsid w:val="001511FD"/>
    <w:rsid w:val="001541D4"/>
    <w:rsid w:val="00162518"/>
    <w:rsid w:val="001834F6"/>
    <w:rsid w:val="001C1660"/>
    <w:rsid w:val="001C516B"/>
    <w:rsid w:val="001E3F4C"/>
    <w:rsid w:val="00215215"/>
    <w:rsid w:val="0021669C"/>
    <w:rsid w:val="00226F48"/>
    <w:rsid w:val="00236411"/>
    <w:rsid w:val="00240E8E"/>
    <w:rsid w:val="002547E7"/>
    <w:rsid w:val="00260836"/>
    <w:rsid w:val="00277604"/>
    <w:rsid w:val="002859A9"/>
    <w:rsid w:val="00292B52"/>
    <w:rsid w:val="00294A83"/>
    <w:rsid w:val="00294B17"/>
    <w:rsid w:val="002A39B2"/>
    <w:rsid w:val="002D40CD"/>
    <w:rsid w:val="002E4FBC"/>
    <w:rsid w:val="002F156A"/>
    <w:rsid w:val="0030551A"/>
    <w:rsid w:val="00324C1A"/>
    <w:rsid w:val="00335042"/>
    <w:rsid w:val="00336E78"/>
    <w:rsid w:val="003419CC"/>
    <w:rsid w:val="00343CED"/>
    <w:rsid w:val="0036283E"/>
    <w:rsid w:val="00371855"/>
    <w:rsid w:val="00385F0C"/>
    <w:rsid w:val="00393310"/>
    <w:rsid w:val="00394EEF"/>
    <w:rsid w:val="003C4836"/>
    <w:rsid w:val="003C56A4"/>
    <w:rsid w:val="003E4C2F"/>
    <w:rsid w:val="003E533F"/>
    <w:rsid w:val="003E6F57"/>
    <w:rsid w:val="003F3C6B"/>
    <w:rsid w:val="00401DCE"/>
    <w:rsid w:val="00402700"/>
    <w:rsid w:val="00417964"/>
    <w:rsid w:val="00420BB1"/>
    <w:rsid w:val="0043583A"/>
    <w:rsid w:val="004545D1"/>
    <w:rsid w:val="00457BAB"/>
    <w:rsid w:val="00462B02"/>
    <w:rsid w:val="00470C7B"/>
    <w:rsid w:val="0047146A"/>
    <w:rsid w:val="004722BC"/>
    <w:rsid w:val="00472E04"/>
    <w:rsid w:val="0047567D"/>
    <w:rsid w:val="00477BF2"/>
    <w:rsid w:val="004A7BC8"/>
    <w:rsid w:val="004B3074"/>
    <w:rsid w:val="004B7CA6"/>
    <w:rsid w:val="004C6CCF"/>
    <w:rsid w:val="004C7C99"/>
    <w:rsid w:val="004F5CA9"/>
    <w:rsid w:val="004F5F70"/>
    <w:rsid w:val="00504855"/>
    <w:rsid w:val="00505E37"/>
    <w:rsid w:val="005145CC"/>
    <w:rsid w:val="005205B9"/>
    <w:rsid w:val="00520911"/>
    <w:rsid w:val="00534F2B"/>
    <w:rsid w:val="00550B55"/>
    <w:rsid w:val="005566F5"/>
    <w:rsid w:val="005829B9"/>
    <w:rsid w:val="00594A1B"/>
    <w:rsid w:val="005A328E"/>
    <w:rsid w:val="005A49FD"/>
    <w:rsid w:val="005A4D20"/>
    <w:rsid w:val="005A5AE8"/>
    <w:rsid w:val="005A5E14"/>
    <w:rsid w:val="005B2CD3"/>
    <w:rsid w:val="005B2E65"/>
    <w:rsid w:val="005C2637"/>
    <w:rsid w:val="005C414D"/>
    <w:rsid w:val="005D13E4"/>
    <w:rsid w:val="005D7F05"/>
    <w:rsid w:val="005E3720"/>
    <w:rsid w:val="005E4B03"/>
    <w:rsid w:val="005F171A"/>
    <w:rsid w:val="005F4AAA"/>
    <w:rsid w:val="0060081A"/>
    <w:rsid w:val="00604132"/>
    <w:rsid w:val="00626866"/>
    <w:rsid w:val="0063267F"/>
    <w:rsid w:val="00634F89"/>
    <w:rsid w:val="00637AFB"/>
    <w:rsid w:val="006506A4"/>
    <w:rsid w:val="00655003"/>
    <w:rsid w:val="00660EF3"/>
    <w:rsid w:val="00663A76"/>
    <w:rsid w:val="0067152B"/>
    <w:rsid w:val="00672090"/>
    <w:rsid w:val="006C2941"/>
    <w:rsid w:val="006C2B06"/>
    <w:rsid w:val="006C7308"/>
    <w:rsid w:val="006E2BD8"/>
    <w:rsid w:val="006E70CE"/>
    <w:rsid w:val="006F0429"/>
    <w:rsid w:val="006F75AC"/>
    <w:rsid w:val="0070407B"/>
    <w:rsid w:val="00705E57"/>
    <w:rsid w:val="007175E2"/>
    <w:rsid w:val="00727940"/>
    <w:rsid w:val="00730193"/>
    <w:rsid w:val="0073227E"/>
    <w:rsid w:val="00732EA4"/>
    <w:rsid w:val="007377D4"/>
    <w:rsid w:val="007B0327"/>
    <w:rsid w:val="007B1EDA"/>
    <w:rsid w:val="007B3452"/>
    <w:rsid w:val="007B3D07"/>
    <w:rsid w:val="007C2CC3"/>
    <w:rsid w:val="007C351D"/>
    <w:rsid w:val="007D4C18"/>
    <w:rsid w:val="007D6DE7"/>
    <w:rsid w:val="007E463E"/>
    <w:rsid w:val="007F4E67"/>
    <w:rsid w:val="007F5F4E"/>
    <w:rsid w:val="00801509"/>
    <w:rsid w:val="00802867"/>
    <w:rsid w:val="00806082"/>
    <w:rsid w:val="00807BAA"/>
    <w:rsid w:val="008145AE"/>
    <w:rsid w:val="00817E0C"/>
    <w:rsid w:val="008338E4"/>
    <w:rsid w:val="00833BA8"/>
    <w:rsid w:val="00846397"/>
    <w:rsid w:val="008521E0"/>
    <w:rsid w:val="00854914"/>
    <w:rsid w:val="008550EF"/>
    <w:rsid w:val="00873D38"/>
    <w:rsid w:val="0087640A"/>
    <w:rsid w:val="00893661"/>
    <w:rsid w:val="008A1CBE"/>
    <w:rsid w:val="008B1EA8"/>
    <w:rsid w:val="008B2A99"/>
    <w:rsid w:val="008B6DA8"/>
    <w:rsid w:val="008E42E1"/>
    <w:rsid w:val="008E751C"/>
    <w:rsid w:val="008F2248"/>
    <w:rsid w:val="009108A4"/>
    <w:rsid w:val="00913C77"/>
    <w:rsid w:val="00915732"/>
    <w:rsid w:val="009162E7"/>
    <w:rsid w:val="00941BE5"/>
    <w:rsid w:val="009457D8"/>
    <w:rsid w:val="0096142F"/>
    <w:rsid w:val="0096419E"/>
    <w:rsid w:val="00994458"/>
    <w:rsid w:val="009949ED"/>
    <w:rsid w:val="009B1135"/>
    <w:rsid w:val="009B219C"/>
    <w:rsid w:val="009C227B"/>
    <w:rsid w:val="009C4D87"/>
    <w:rsid w:val="009C5BE9"/>
    <w:rsid w:val="009E670F"/>
    <w:rsid w:val="009E73F0"/>
    <w:rsid w:val="009F66EA"/>
    <w:rsid w:val="00A2502C"/>
    <w:rsid w:val="00A25CA7"/>
    <w:rsid w:val="00A343FF"/>
    <w:rsid w:val="00A61B5E"/>
    <w:rsid w:val="00A678C3"/>
    <w:rsid w:val="00A70B4A"/>
    <w:rsid w:val="00A76705"/>
    <w:rsid w:val="00A7781B"/>
    <w:rsid w:val="00A860C7"/>
    <w:rsid w:val="00AA164D"/>
    <w:rsid w:val="00AB0F8C"/>
    <w:rsid w:val="00AB253B"/>
    <w:rsid w:val="00AC2C8E"/>
    <w:rsid w:val="00AE1B0F"/>
    <w:rsid w:val="00AF2D92"/>
    <w:rsid w:val="00B002D8"/>
    <w:rsid w:val="00B056D9"/>
    <w:rsid w:val="00B063D6"/>
    <w:rsid w:val="00B120EB"/>
    <w:rsid w:val="00B205A7"/>
    <w:rsid w:val="00B3732F"/>
    <w:rsid w:val="00B40F77"/>
    <w:rsid w:val="00B4343F"/>
    <w:rsid w:val="00B554FC"/>
    <w:rsid w:val="00B60889"/>
    <w:rsid w:val="00B674F5"/>
    <w:rsid w:val="00B74EA5"/>
    <w:rsid w:val="00B8008C"/>
    <w:rsid w:val="00B806AC"/>
    <w:rsid w:val="00B93993"/>
    <w:rsid w:val="00BA2B9F"/>
    <w:rsid w:val="00BB0A8F"/>
    <w:rsid w:val="00BC3854"/>
    <w:rsid w:val="00C03B37"/>
    <w:rsid w:val="00C14CDB"/>
    <w:rsid w:val="00C17E67"/>
    <w:rsid w:val="00C17F04"/>
    <w:rsid w:val="00C30658"/>
    <w:rsid w:val="00C3260E"/>
    <w:rsid w:val="00C3445F"/>
    <w:rsid w:val="00C402CB"/>
    <w:rsid w:val="00C55E1C"/>
    <w:rsid w:val="00C56464"/>
    <w:rsid w:val="00C57947"/>
    <w:rsid w:val="00C76780"/>
    <w:rsid w:val="00CB6344"/>
    <w:rsid w:val="00CB7CD5"/>
    <w:rsid w:val="00CB7D17"/>
    <w:rsid w:val="00CC0731"/>
    <w:rsid w:val="00CC6DB2"/>
    <w:rsid w:val="00CD169F"/>
    <w:rsid w:val="00CE024B"/>
    <w:rsid w:val="00CE74B7"/>
    <w:rsid w:val="00CF54E1"/>
    <w:rsid w:val="00D03A4D"/>
    <w:rsid w:val="00D048B2"/>
    <w:rsid w:val="00D05BCC"/>
    <w:rsid w:val="00D23C64"/>
    <w:rsid w:val="00D735C2"/>
    <w:rsid w:val="00D76EDC"/>
    <w:rsid w:val="00D91EBA"/>
    <w:rsid w:val="00D9413D"/>
    <w:rsid w:val="00DA7797"/>
    <w:rsid w:val="00DC5A37"/>
    <w:rsid w:val="00DC7C8F"/>
    <w:rsid w:val="00DE4A18"/>
    <w:rsid w:val="00DF0FE5"/>
    <w:rsid w:val="00E0051B"/>
    <w:rsid w:val="00E12118"/>
    <w:rsid w:val="00E177B0"/>
    <w:rsid w:val="00E24621"/>
    <w:rsid w:val="00E3040C"/>
    <w:rsid w:val="00E31824"/>
    <w:rsid w:val="00E3617F"/>
    <w:rsid w:val="00E42870"/>
    <w:rsid w:val="00E525B3"/>
    <w:rsid w:val="00E6614F"/>
    <w:rsid w:val="00E737AE"/>
    <w:rsid w:val="00E953CE"/>
    <w:rsid w:val="00EB2409"/>
    <w:rsid w:val="00EC2A38"/>
    <w:rsid w:val="00ED7332"/>
    <w:rsid w:val="00ED73A5"/>
    <w:rsid w:val="00F14821"/>
    <w:rsid w:val="00F43314"/>
    <w:rsid w:val="00F45256"/>
    <w:rsid w:val="00F478AC"/>
    <w:rsid w:val="00F53B51"/>
    <w:rsid w:val="00F54F60"/>
    <w:rsid w:val="00F5768F"/>
    <w:rsid w:val="00F61B1D"/>
    <w:rsid w:val="00F62829"/>
    <w:rsid w:val="00F66FEE"/>
    <w:rsid w:val="00F74974"/>
    <w:rsid w:val="00F7589F"/>
    <w:rsid w:val="00F8575B"/>
    <w:rsid w:val="00F9344E"/>
    <w:rsid w:val="00F9351A"/>
    <w:rsid w:val="00FB6FD5"/>
    <w:rsid w:val="00FC304E"/>
    <w:rsid w:val="00FC62AE"/>
    <w:rsid w:val="00FC66C2"/>
    <w:rsid w:val="00FC7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9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470C7B"/>
    <w:pPr>
      <w:ind w:left="720"/>
      <w:contextualSpacing/>
    </w:pPr>
    <w:rPr>
      <w:rFonts w:eastAsia="Times New Roman"/>
    </w:rPr>
  </w:style>
  <w:style w:type="character" w:styleId="Hyperlink">
    <w:name w:val="Hyperlink"/>
    <w:uiPriority w:val="99"/>
    <w:unhideWhenUsed/>
    <w:rsid w:val="00470C7B"/>
    <w:rPr>
      <w:color w:val="0000FF"/>
      <w:u w:val="single"/>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470C7B"/>
    <w:rPr>
      <w:rFonts w:eastAsia="Times New Roman"/>
      <w:sz w:val="22"/>
      <w:szCs w:val="22"/>
      <w:lang w:val="en-US" w:eastAsia="en-US"/>
    </w:rPr>
  </w:style>
  <w:style w:type="character" w:styleId="FootnoteReference">
    <w:name w:val="footnote reference"/>
    <w:aliases w:val="Ref,f1,4,norma,Footnote,de nota al pie"/>
    <w:link w:val="Appelnotedebasde"/>
    <w:uiPriority w:val="99"/>
    <w:unhideWhenUsed/>
    <w:qFormat/>
    <w:rsid w:val="00470C7B"/>
    <w:rPr>
      <w:vertAlign w:val="superscript"/>
    </w:rPr>
  </w:style>
  <w:style w:type="paragraph" w:customStyle="1" w:styleId="Appelnotedebasde">
    <w:name w:val="Appel note de bas de..."/>
    <w:basedOn w:val="Normal"/>
    <w:link w:val="FootnoteReference"/>
    <w:uiPriority w:val="99"/>
    <w:rsid w:val="00470C7B"/>
    <w:pPr>
      <w:spacing w:after="160" w:line="240" w:lineRule="exact"/>
    </w:pPr>
    <w:rPr>
      <w:sz w:val="20"/>
      <w:szCs w:val="20"/>
      <w:vertAlign w:val="superscript"/>
      <w:lang w:val="es-CO" w:eastAsia="es-MX"/>
    </w:rPr>
  </w:style>
  <w:style w:type="character" w:styleId="FollowedHyperlink">
    <w:name w:val="FollowedHyperlink"/>
    <w:basedOn w:val="DefaultParagraphFont"/>
    <w:uiPriority w:val="99"/>
    <w:semiHidden/>
    <w:unhideWhenUsed/>
    <w:rsid w:val="00385F0C"/>
    <w:rPr>
      <w:color w:val="954F72" w:themeColor="followedHyperlink"/>
      <w:u w:val="single"/>
    </w:rPr>
  </w:style>
  <w:style w:type="paragraph" w:styleId="FootnoteText">
    <w:name w:val="footnote text"/>
    <w:aliases w:val="Footnote Reference1,Footnotes refss,Texto de nota al pie,referencia nota al pie,BVI fnr,Appel note de bas de page,Footnote symbol,Footnote number,f,Ref. de nota al pie.,4_G,16 Point,Superscript 6 Point,Texto nota al pie,Ref. de nota al pi"/>
    <w:basedOn w:val="Normal"/>
    <w:link w:val="FootnoteTextChar"/>
    <w:unhideWhenUsed/>
    <w:qFormat/>
    <w:rsid w:val="00672090"/>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Reference1 Char,Footnotes refss Char,Texto de nota al pie Char,referencia nota al pie Char,BVI fnr Char,Appel note de bas de page Char,Footnote symbol Char,Footnote number Char,f Char,Ref. de nota al pie. Char,4_G Char"/>
    <w:basedOn w:val="DefaultParagraphFont"/>
    <w:link w:val="FootnoteText"/>
    <w:uiPriority w:val="99"/>
    <w:rsid w:val="00672090"/>
    <w:rPr>
      <w:rFonts w:ascii="Times New Roman" w:eastAsia="Times New Roman" w:hAnsi="Times New Roman"/>
      <w:lang w:val="en-US" w:eastAsia="en-US"/>
    </w:rPr>
  </w:style>
  <w:style w:type="paragraph" w:styleId="NoSpacing">
    <w:name w:val="No Spacing"/>
    <w:uiPriority w:val="1"/>
    <w:qFormat/>
    <w:rsid w:val="008521E0"/>
    <w:rPr>
      <w:sz w:val="22"/>
      <w:szCs w:val="22"/>
      <w:lang w:val="en-US" w:eastAsia="en-US"/>
    </w:rPr>
  </w:style>
  <w:style w:type="paragraph" w:customStyle="1" w:styleId="Default">
    <w:name w:val="Default"/>
    <w:rsid w:val="008521E0"/>
    <w:pPr>
      <w:autoSpaceDE w:val="0"/>
      <w:autoSpaceDN w:val="0"/>
      <w:adjustRightInd w:val="0"/>
    </w:pPr>
    <w:rPr>
      <w:rFonts w:ascii="Cambria" w:hAnsi="Cambria" w:cs="Cambria"/>
      <w:color w:val="000000"/>
      <w:sz w:val="24"/>
      <w:szCs w:val="24"/>
      <w:lang w:val="en-US" w:eastAsia="en-US"/>
    </w:rPr>
  </w:style>
  <w:style w:type="paragraph" w:styleId="Revision">
    <w:name w:val="Revision"/>
    <w:hidden/>
    <w:uiPriority w:val="99"/>
    <w:semiHidden/>
    <w:rsid w:val="00B120EB"/>
    <w:rPr>
      <w:sz w:val="22"/>
      <w:szCs w:val="22"/>
      <w:lang w:val="en-US" w:eastAsia="en-US"/>
    </w:rPr>
  </w:style>
  <w:style w:type="character" w:styleId="UnresolvedMention">
    <w:name w:val="Unresolved Mention"/>
    <w:basedOn w:val="DefaultParagraphFont"/>
    <w:uiPriority w:val="99"/>
    <w:semiHidden/>
    <w:unhideWhenUsed/>
    <w:rsid w:val="00634F89"/>
    <w:rPr>
      <w:color w:val="605E5C"/>
      <w:shd w:val="clear" w:color="auto" w:fill="E1DFDD"/>
    </w:rPr>
  </w:style>
  <w:style w:type="numbering" w:customStyle="1" w:styleId="CurrentList1">
    <w:name w:val="Current List1"/>
    <w:uiPriority w:val="99"/>
    <w:rsid w:val="004C7C99"/>
    <w:pPr>
      <w:numPr>
        <w:numId w:val="39"/>
      </w:numPr>
    </w:pPr>
  </w:style>
  <w:style w:type="paragraph" w:styleId="BodyTextIndent">
    <w:name w:val="Body Text Indent"/>
    <w:basedOn w:val="Normal"/>
    <w:link w:val="BodyTextIndentChar"/>
    <w:uiPriority w:val="99"/>
    <w:unhideWhenUsed/>
    <w:rsid w:val="00550B55"/>
    <w:pPr>
      <w:suppressAutoHyphens/>
      <w:spacing w:after="120" w:line="240" w:lineRule="auto"/>
      <w:ind w:left="360"/>
    </w:pPr>
    <w:rPr>
      <w:rFonts w:ascii="Cambria" w:eastAsiaTheme="minorHAnsi" w:hAnsi="Cambria" w:cstheme="minorBidi"/>
    </w:rPr>
  </w:style>
  <w:style w:type="character" w:customStyle="1" w:styleId="SangradetextonormalCar">
    <w:name w:val="Sangría de texto normal Car"/>
    <w:basedOn w:val="DefaultParagraphFont"/>
    <w:uiPriority w:val="99"/>
    <w:semiHidden/>
    <w:rsid w:val="00550B55"/>
    <w:rPr>
      <w:sz w:val="22"/>
      <w:szCs w:val="22"/>
      <w:lang w:val="en-US" w:eastAsia="en-US"/>
    </w:rPr>
  </w:style>
  <w:style w:type="character" w:customStyle="1" w:styleId="BodyTextIndentChar">
    <w:name w:val="Body Text Indent Char"/>
    <w:basedOn w:val="DefaultParagraphFont"/>
    <w:link w:val="BodyTextIndent"/>
    <w:uiPriority w:val="99"/>
    <w:rsid w:val="00550B55"/>
    <w:rPr>
      <w:rFonts w:ascii="Cambria" w:eastAsiaTheme="minorHAnsi" w:hAnsi="Cambria" w:cstheme="minorBidi"/>
      <w:sz w:val="22"/>
      <w:szCs w:val="22"/>
      <w:lang w:val="en-US" w:eastAsia="en-US"/>
    </w:rPr>
  </w:style>
  <w:style w:type="character" w:styleId="BookTitle">
    <w:name w:val="Book Title"/>
    <w:basedOn w:val="DefaultParagraphFont"/>
    <w:uiPriority w:val="33"/>
    <w:rsid w:val="00520911"/>
    <w:rPr>
      <w:b/>
      <w:bCs/>
      <w:i/>
      <w:iCs/>
      <w:spacing w:val="5"/>
    </w:rPr>
  </w:style>
  <w:style w:type="character" w:customStyle="1" w:styleId="TextonotapieCar2">
    <w:name w:val="Texto nota pie Car2"/>
    <w:aliases w:val="Footnote Text Char Char Char Char Char Car1,Footnote Text Char Char Char Char Car1,Footnote reference Car1,FA Fu Car1,Footnote Text Char Char Char Car1,Footnote Text Cha Car1,FA Fußnotentext Car1,FA Fuﬂnotentext Car1,Ca Car"/>
    <w:basedOn w:val="DefaultParagraphFont"/>
    <w:qFormat/>
    <w:rsid w:val="00E0051B"/>
    <w:rPr>
      <w:rFonts w:ascii="Cambria" w:hAnsi="Cambri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n/iachr/decisions/2018/PYSA12699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s.org/en/iachr/decisions/2018/PYSA12699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idh.oas.org/annualrep/2009eng/Paraguay788.05eng.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n/iachr/docs/annual/2023/chapters/IA2023_Cap_2_E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CE3C7-B026-E241-B903-18C1190A9A5F}">
  <ds:schemaRefs>
    <ds:schemaRef ds:uri="http://schemas.openxmlformats.org/officeDocument/2006/bibliography"/>
  </ds:schemaRefs>
</ds:datastoreItem>
</file>

<file path=customXml/itemProps2.xml><?xml version="1.0" encoding="utf-8"?>
<ds:datastoreItem xmlns:ds="http://schemas.openxmlformats.org/officeDocument/2006/customXml" ds:itemID="{41F7FC34-EE51-41AF-8119-9FC4A47DC905}">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490A2D28-5FAE-4C93-A166-435BBB1CA95B}">
  <ds:schemaRefs>
    <ds:schemaRef ds:uri="http://schemas.microsoft.com/sharepoint/v3/contenttype/forms"/>
  </ds:schemaRefs>
</ds:datastoreItem>
</file>

<file path=customXml/itemProps4.xml><?xml version="1.0" encoding="utf-8"?>
<ds:datastoreItem xmlns:ds="http://schemas.openxmlformats.org/officeDocument/2006/customXml" ds:itemID="{2C534A0D-18CE-4362-9E26-A3C7BFDE772A}">
  <ds:schemaRefs>
    <ds:schemaRef ds:uri="http://schemas.microsoft.com/office/2006/metadata/longProperties"/>
  </ds:schemaRefs>
</ds:datastoreItem>
</file>

<file path=customXml/itemProps5.xml><?xml version="1.0" encoding="utf-8"?>
<ds:datastoreItem xmlns:ds="http://schemas.openxmlformats.org/officeDocument/2006/customXml" ds:itemID="{8EA1B072-EF83-488D-B1CB-567890A9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2024-05-02T14:06:00Z</dcterms:created>
  <dcterms:modified xsi:type="dcterms:W3CDTF">2024-05-02T14:06:00Z</dcterms:modified>
</cp:coreProperties>
</file>